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2BAD" w:rsidRDefault="00112BAD"/>
    <w:tbl>
      <w:tblPr>
        <w:tblW w:w="9778" w:type="dxa"/>
        <w:tblLayout w:type="fixed"/>
        <w:tblLook w:val="0000"/>
      </w:tblPr>
      <w:tblGrid>
        <w:gridCol w:w="3259"/>
        <w:gridCol w:w="3259"/>
        <w:gridCol w:w="3260"/>
      </w:tblGrid>
      <w:tr w:rsidR="004E30FF" w:rsidTr="00112BAD">
        <w:tc>
          <w:tcPr>
            <w:tcW w:w="3259" w:type="dxa"/>
            <w:shd w:val="clear" w:color="auto" w:fill="auto"/>
          </w:tcPr>
          <w:p w:rsidR="004E30FF" w:rsidRDefault="006B7242">
            <w:bookmarkStart w:id="0" w:name="_Hlk510872063"/>
            <w:bookmarkEnd w:id="0"/>
            <w:r>
              <w:rPr>
                <w:noProof/>
                <w:lang w:val="ru-RU" w:eastAsia="ru-RU"/>
              </w:rPr>
              <w:drawing>
                <wp:inline distT="0" distB="0" distL="0" distR="0">
                  <wp:extent cx="1314450" cy="1314450"/>
                  <wp:effectExtent l="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solidFill>
                            <a:srgbClr val="FFFFFF"/>
                          </a:solidFill>
                          <a:ln>
                            <a:noFill/>
                          </a:ln>
                        </pic:spPr>
                      </pic:pic>
                    </a:graphicData>
                  </a:graphic>
                </wp:inline>
              </w:drawing>
            </w:r>
          </w:p>
        </w:tc>
        <w:tc>
          <w:tcPr>
            <w:tcW w:w="3259" w:type="dxa"/>
            <w:shd w:val="clear" w:color="auto" w:fill="auto"/>
          </w:tcPr>
          <w:p w:rsidR="004E30FF" w:rsidRDefault="004E30FF">
            <w:pPr>
              <w:jc w:val="center"/>
            </w:pPr>
          </w:p>
        </w:tc>
        <w:tc>
          <w:tcPr>
            <w:tcW w:w="3260" w:type="dxa"/>
            <w:shd w:val="clear" w:color="auto" w:fill="auto"/>
          </w:tcPr>
          <w:p w:rsidR="004E30FF" w:rsidRDefault="00F03480">
            <w:pPr>
              <w:jc w:val="right"/>
            </w:pPr>
            <w:r>
              <w:rPr>
                <w:noProof/>
                <w:lang w:val="ru-RU" w:eastAsia="ru-RU"/>
              </w:rPr>
              <w:drawing>
                <wp:inline distT="0" distB="0" distL="0" distR="0">
                  <wp:extent cx="1762125" cy="1171575"/>
                  <wp:effectExtent l="0" t="0" r="9525" b="9525"/>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171575"/>
                          </a:xfrm>
                          <a:prstGeom prst="rect">
                            <a:avLst/>
                          </a:prstGeom>
                          <a:solidFill>
                            <a:srgbClr val="FFFFFF"/>
                          </a:solidFill>
                          <a:ln>
                            <a:noFill/>
                          </a:ln>
                        </pic:spPr>
                      </pic:pic>
                    </a:graphicData>
                  </a:graphic>
                </wp:inline>
              </w:drawing>
            </w:r>
          </w:p>
        </w:tc>
      </w:tr>
    </w:tbl>
    <w:p w:rsidR="00B33096" w:rsidRDefault="00B33096" w:rsidP="0038219B">
      <w:pPr>
        <w:spacing w:before="120" w:after="120" w:line="240" w:lineRule="auto"/>
        <w:jc w:val="center"/>
        <w:rPr>
          <w:rStyle w:val="BookTitle1"/>
          <w:sz w:val="44"/>
        </w:rPr>
      </w:pPr>
    </w:p>
    <w:p w:rsidR="004E30FF" w:rsidRDefault="004E30FF" w:rsidP="00755668">
      <w:pPr>
        <w:spacing w:before="240" w:after="120" w:line="360" w:lineRule="auto"/>
        <w:jc w:val="center"/>
      </w:pPr>
      <w:r>
        <w:rPr>
          <w:rStyle w:val="BookTitle1"/>
          <w:sz w:val="44"/>
        </w:rPr>
        <w:t>Solid Waste Management Improvement Project</w:t>
      </w:r>
    </w:p>
    <w:p w:rsidR="004E30FF" w:rsidRDefault="004E30FF">
      <w:pPr>
        <w:spacing w:before="240" w:after="240" w:line="360" w:lineRule="auto"/>
        <w:jc w:val="center"/>
      </w:pPr>
      <w:r>
        <w:rPr>
          <w:rStyle w:val="BookTitle1"/>
        </w:rPr>
        <w:t>ADB Loan No.: 3067-UZB</w:t>
      </w:r>
    </w:p>
    <w:p w:rsidR="004E30FF" w:rsidRDefault="004E30FF">
      <w:pPr>
        <w:pStyle w:val="Buchuntertitel1"/>
      </w:pPr>
      <w:r>
        <w:t>PROJECT MANAGEMENT, IMPLEMENTATION AND SUPERVISION CONSULTANCY SERVICES</w:t>
      </w:r>
    </w:p>
    <w:p w:rsidR="004E30FF" w:rsidRDefault="004E30FF">
      <w:pPr>
        <w:pStyle w:val="Buchuntertitel2"/>
      </w:pPr>
      <w:r>
        <w:t>Contract No.: SUE/Maxsustrans/QCBS-Cons_1-2016-01</w:t>
      </w:r>
    </w:p>
    <w:p w:rsidR="004E30FF" w:rsidRDefault="006B7242">
      <w:r>
        <w:rPr>
          <w:noProof/>
          <w:lang w:val="ru-RU" w:eastAsia="ru-RU"/>
        </w:rPr>
        <w:drawing>
          <wp:inline distT="0" distB="0" distL="0" distR="0">
            <wp:extent cx="2201594" cy="1495141"/>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2012" cy="1495425"/>
                    </a:xfrm>
                    <a:prstGeom prst="rect">
                      <a:avLst/>
                    </a:prstGeom>
                    <a:solidFill>
                      <a:srgbClr val="FFFFFF"/>
                    </a:solidFill>
                    <a:ln>
                      <a:noFill/>
                    </a:ln>
                  </pic:spPr>
                </pic:pic>
              </a:graphicData>
            </a:graphic>
          </wp:inline>
        </w:drawing>
      </w:r>
      <w:r w:rsidR="004E30FF">
        <w:rPr>
          <w:lang w:eastAsia="ru-RU"/>
        </w:rPr>
        <w:t xml:space="preserve"> </w:t>
      </w:r>
      <w:r>
        <w:rPr>
          <w:noProof/>
          <w:lang w:val="ru-RU" w:eastAsia="ru-RU"/>
        </w:rPr>
        <w:drawing>
          <wp:inline distT="0" distB="0" distL="0" distR="0">
            <wp:extent cx="1505243" cy="1504341"/>
            <wp:effectExtent l="0" t="0" r="0" b="63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855" cy="1505952"/>
                    </a:xfrm>
                    <a:prstGeom prst="rect">
                      <a:avLst/>
                    </a:prstGeom>
                    <a:noFill/>
                    <a:ln>
                      <a:noFill/>
                    </a:ln>
                    <a:effectLst/>
                  </pic:spPr>
                </pic:pic>
              </a:graphicData>
            </a:graphic>
          </wp:inline>
        </w:drawing>
      </w:r>
      <w:r w:rsidR="004E30FF">
        <w:rPr>
          <w:lang w:eastAsia="ru-RU"/>
        </w:rPr>
        <w:t xml:space="preserve"> </w:t>
      </w:r>
      <w:r>
        <w:rPr>
          <w:noProof/>
          <w:lang w:val="ru-RU" w:eastAsia="ru-RU"/>
        </w:rPr>
        <w:drawing>
          <wp:inline distT="0" distB="0" distL="0" distR="0">
            <wp:extent cx="2000250" cy="1495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495425"/>
                    </a:xfrm>
                    <a:prstGeom prst="rect">
                      <a:avLst/>
                    </a:prstGeom>
                    <a:solidFill>
                      <a:srgbClr val="FFFFFF"/>
                    </a:solidFill>
                    <a:ln>
                      <a:noFill/>
                    </a:ln>
                  </pic:spPr>
                </pic:pic>
              </a:graphicData>
            </a:graphic>
          </wp:inline>
        </w:drawing>
      </w:r>
    </w:p>
    <w:p w:rsidR="004E30FF" w:rsidRDefault="004E30FF"/>
    <w:p w:rsidR="004E30FF" w:rsidRDefault="00C91A48">
      <w:pPr>
        <w:pStyle w:val="Report1"/>
      </w:pPr>
      <w:r>
        <w:t xml:space="preserve">Annual </w:t>
      </w:r>
      <w:r w:rsidR="004E30FF">
        <w:t xml:space="preserve">Progress Report No. </w:t>
      </w:r>
      <w:r w:rsidR="00755668">
        <w:t>4</w:t>
      </w:r>
    </w:p>
    <w:p w:rsidR="004E30FF" w:rsidRDefault="00755668">
      <w:pPr>
        <w:pStyle w:val="Report2"/>
      </w:pPr>
      <w:r>
        <w:t>January – December 2020</w:t>
      </w:r>
    </w:p>
    <w:p w:rsidR="004E30FF" w:rsidRDefault="004E30FF"/>
    <w:p w:rsidR="004E30FF" w:rsidRPr="00B82311" w:rsidRDefault="004E30FF">
      <w:pPr>
        <w:pStyle w:val="Report3"/>
        <w:rPr>
          <w:b/>
        </w:rPr>
      </w:pPr>
      <w:r w:rsidRPr="00B82311">
        <w:rPr>
          <w:b/>
        </w:rPr>
        <w:t>CLIENT – IMPLEMENTING AGENCY</w:t>
      </w:r>
    </w:p>
    <w:p w:rsidR="004E30FF" w:rsidRPr="00B82311" w:rsidRDefault="004E30FF">
      <w:pPr>
        <w:pStyle w:val="Report4"/>
        <w:rPr>
          <w:b/>
        </w:rPr>
      </w:pPr>
      <w:r w:rsidRPr="00B82311">
        <w:rPr>
          <w:b/>
        </w:rPr>
        <w:t>State Unitary Enterprise (SUE) “MAXSUSTRANS” (Uzbekistan)</w:t>
      </w:r>
    </w:p>
    <w:p w:rsidR="004E30FF" w:rsidRPr="00B82311" w:rsidRDefault="00755668">
      <w:pPr>
        <w:pStyle w:val="Report3"/>
        <w:rPr>
          <w:b/>
        </w:rPr>
      </w:pPr>
      <w:r>
        <w:rPr>
          <w:b/>
        </w:rPr>
        <w:t xml:space="preserve">PIU </w:t>
      </w:r>
      <w:r w:rsidR="004E30FF" w:rsidRPr="00B82311">
        <w:rPr>
          <w:b/>
        </w:rPr>
        <w:t>CONSULTANT</w:t>
      </w:r>
    </w:p>
    <w:p w:rsidR="004E30FF" w:rsidRPr="00B82311" w:rsidRDefault="00755668">
      <w:pPr>
        <w:pStyle w:val="Report4"/>
        <w:rPr>
          <w:b/>
        </w:rPr>
      </w:pPr>
      <w:r>
        <w:rPr>
          <w:rFonts w:ascii="Arial" w:hAnsi="Arial" w:cs="Arial"/>
          <w:b/>
          <w:bCs/>
          <w:noProof/>
          <w:color w:val="000000"/>
          <w:sz w:val="30"/>
          <w:szCs w:val="30"/>
          <w:lang w:val="ru-RU" w:eastAsia="ru-RU"/>
        </w:rPr>
        <w:drawing>
          <wp:anchor distT="0" distB="0" distL="114300" distR="114300" simplePos="0" relativeHeight="251659264" behindDoc="1" locked="0" layoutInCell="1" allowOverlap="1">
            <wp:simplePos x="0" y="0"/>
            <wp:positionH relativeFrom="column">
              <wp:posOffset>2392045</wp:posOffset>
            </wp:positionH>
            <wp:positionV relativeFrom="paragraph">
              <wp:posOffset>241300</wp:posOffset>
            </wp:positionV>
            <wp:extent cx="1111250" cy="1111885"/>
            <wp:effectExtent l="0" t="0" r="0" b="0"/>
            <wp:wrapNone/>
            <wp:docPr id="30"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0" cy="1111885"/>
                    </a:xfrm>
                    <a:prstGeom prst="rect">
                      <a:avLst/>
                    </a:prstGeom>
                    <a:noFill/>
                    <a:ln>
                      <a:noFill/>
                    </a:ln>
                  </pic:spPr>
                </pic:pic>
              </a:graphicData>
            </a:graphic>
          </wp:anchor>
        </w:drawing>
      </w:r>
      <w:proofErr w:type="spellStart"/>
      <w:r w:rsidR="004E30FF" w:rsidRPr="00B82311">
        <w:rPr>
          <w:b/>
        </w:rPr>
        <w:t>Infratech</w:t>
      </w:r>
      <w:proofErr w:type="spellEnd"/>
      <w:r w:rsidR="004E30FF" w:rsidRPr="00B82311">
        <w:rPr>
          <w:b/>
        </w:rPr>
        <w:t xml:space="preserve"> Consulting SDN Ltd. (Uzbekistan)</w:t>
      </w:r>
    </w:p>
    <w:p w:rsidR="0038219B" w:rsidRDefault="0038219B">
      <w:pPr>
        <w:pStyle w:val="Report4"/>
      </w:pPr>
    </w:p>
    <w:p w:rsidR="00755668" w:rsidRDefault="00755668">
      <w:pPr>
        <w:pStyle w:val="Report4"/>
      </w:pPr>
    </w:p>
    <w:p w:rsidR="00755668" w:rsidRDefault="00755668">
      <w:pPr>
        <w:pStyle w:val="Report4"/>
      </w:pPr>
    </w:p>
    <w:p w:rsidR="00755668" w:rsidRDefault="00755668">
      <w:pPr>
        <w:pStyle w:val="Report4"/>
      </w:pPr>
    </w:p>
    <w:p w:rsidR="00B82311" w:rsidRPr="00422EF3" w:rsidRDefault="00AD0661">
      <w:pPr>
        <w:pStyle w:val="Report4"/>
        <w:rPr>
          <w:sz w:val="22"/>
        </w:rPr>
      </w:pPr>
      <w:r w:rsidRPr="00422EF3">
        <w:rPr>
          <w:sz w:val="22"/>
        </w:rPr>
        <w:lastRenderedPageBreak/>
        <w:t xml:space="preserve">Tashkent – </w:t>
      </w:r>
      <w:r w:rsidR="002D58E2">
        <w:rPr>
          <w:sz w:val="22"/>
        </w:rPr>
        <w:t xml:space="preserve">February </w:t>
      </w:r>
      <w:r w:rsidR="00FA1ACB">
        <w:rPr>
          <w:sz w:val="22"/>
        </w:rPr>
        <w:t>2021</w:t>
      </w:r>
    </w:p>
    <w:p w:rsidR="004E30FF" w:rsidRDefault="004E30FF"/>
    <w:tbl>
      <w:tblPr>
        <w:tblW w:w="4872" w:type="pct"/>
        <w:tblLayout w:type="fixed"/>
        <w:tblCellMar>
          <w:left w:w="113" w:type="dxa"/>
        </w:tblCellMar>
        <w:tblLook w:val="0000"/>
      </w:tblPr>
      <w:tblGrid>
        <w:gridCol w:w="2557"/>
        <w:gridCol w:w="6912"/>
      </w:tblGrid>
      <w:tr w:rsidR="004E30FF" w:rsidTr="00785C79">
        <w:trPr>
          <w:trHeight w:val="1577"/>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0FF" w:rsidRPr="00BD3272" w:rsidRDefault="004E30FF">
            <w:pPr>
              <w:jc w:val="left"/>
              <w:rPr>
                <w:b/>
              </w:rPr>
            </w:pPr>
            <w:r w:rsidRPr="00BD3272">
              <w:rPr>
                <w:b/>
              </w:rPr>
              <w:t>Project title:</w:t>
            </w:r>
          </w:p>
          <w:p w:rsidR="004E30FF" w:rsidRDefault="004E30FF">
            <w:pPr>
              <w:jc w:val="left"/>
            </w:pPr>
            <w:r>
              <w:t>Solid Waste Management Improvement Project (SWMIP)</w:t>
            </w:r>
          </w:p>
          <w:p w:rsidR="004E30FF" w:rsidRDefault="004E30FF">
            <w:pPr>
              <w:jc w:val="left"/>
            </w:pPr>
            <w:r>
              <w:t>ADB Loan No.: 3067-UZB</w:t>
            </w: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0FF" w:rsidRPr="00BD3272" w:rsidRDefault="004E30FF">
            <w:pPr>
              <w:rPr>
                <w:b/>
              </w:rPr>
            </w:pPr>
            <w:r w:rsidRPr="00BD3272">
              <w:rPr>
                <w:b/>
              </w:rPr>
              <w:t>Client:</w:t>
            </w:r>
          </w:p>
          <w:p w:rsidR="004E30FF" w:rsidRPr="00785C79" w:rsidRDefault="004E30FF">
            <w:r w:rsidRPr="00785C79">
              <w:t>State Unitary Enterprise (SUE) “MAXSUSTRANS”</w:t>
            </w:r>
          </w:p>
          <w:p w:rsidR="004E30FF" w:rsidRPr="00785C79" w:rsidRDefault="004E30FF">
            <w:r w:rsidRPr="00785C79">
              <w:t xml:space="preserve">Mr. </w:t>
            </w:r>
            <w:proofErr w:type="spellStart"/>
            <w:r w:rsidR="00340468" w:rsidRPr="00785C79">
              <w:t>Rakhmatilla</w:t>
            </w:r>
            <w:proofErr w:type="spellEnd"/>
            <w:r w:rsidR="00340468" w:rsidRPr="00785C79">
              <w:t xml:space="preserve"> </w:t>
            </w:r>
            <w:proofErr w:type="spellStart"/>
            <w:r w:rsidR="00340468" w:rsidRPr="00785C79">
              <w:t>K</w:t>
            </w:r>
            <w:r w:rsidR="00AD0661" w:rsidRPr="00785C79">
              <w:t>arshiev</w:t>
            </w:r>
            <w:proofErr w:type="spellEnd"/>
            <w:r w:rsidR="00AD0661" w:rsidRPr="00785C79">
              <w:t xml:space="preserve"> </w:t>
            </w:r>
            <w:r w:rsidRPr="00785C79">
              <w:t xml:space="preserve">, Director </w:t>
            </w:r>
            <w:r w:rsidR="00340468" w:rsidRPr="00785C79">
              <w:t xml:space="preserve"> </w:t>
            </w:r>
          </w:p>
          <w:p w:rsidR="004E30FF" w:rsidRPr="00785C79" w:rsidRDefault="004E30FF">
            <w:r w:rsidRPr="00785C79">
              <w:t>Telephone: +998 71 247 06 70</w:t>
            </w:r>
          </w:p>
          <w:p w:rsidR="004E30FF" w:rsidRPr="00785C79" w:rsidRDefault="004E30FF">
            <w:r w:rsidRPr="00785C79">
              <w:t>Facsimile: +998 71 247 79 21</w:t>
            </w:r>
          </w:p>
          <w:p w:rsidR="004E30FF" w:rsidRPr="00E331DF" w:rsidRDefault="004E30FF">
            <w:r w:rsidRPr="00785C79">
              <w:rPr>
                <w:rFonts w:eastAsia="Times New Roman" w:cs="Calibri"/>
              </w:rPr>
              <w:t xml:space="preserve">E-mail: </w:t>
            </w:r>
            <w:hyperlink r:id="rId13" w:history="1">
              <w:r w:rsidRPr="00785C79">
                <w:rPr>
                  <w:rStyle w:val="a8"/>
                  <w:rFonts w:eastAsia="Times New Roman" w:cs="Calibri"/>
                </w:rPr>
                <w:t>maxsustrans@inbox.ru</w:t>
              </w:r>
            </w:hyperlink>
            <w:r w:rsidRPr="00E331DF">
              <w:rPr>
                <w:rFonts w:eastAsia="Times New Roman" w:cs="Calibri"/>
              </w:rPr>
              <w:t xml:space="preserve"> </w:t>
            </w:r>
          </w:p>
        </w:tc>
      </w:tr>
      <w:tr w:rsidR="004E30FF" w:rsidTr="00785C79">
        <w:trPr>
          <w:trHeight w:val="1641"/>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0FF" w:rsidRPr="00BD3272" w:rsidRDefault="004E30FF">
            <w:pPr>
              <w:jc w:val="left"/>
              <w:rPr>
                <w:b/>
              </w:rPr>
            </w:pPr>
            <w:r w:rsidRPr="00BD3272">
              <w:rPr>
                <w:b/>
              </w:rPr>
              <w:t>Contract No.:</w:t>
            </w:r>
          </w:p>
          <w:p w:rsidR="00422EF3" w:rsidRDefault="004E30FF" w:rsidP="00422EF3">
            <w:pPr>
              <w:jc w:val="left"/>
            </w:pPr>
            <w:r>
              <w:t>SUE/Maxsustrans/QCBS-Cons_1-2016-01</w:t>
            </w:r>
            <w:r w:rsidR="00422EF3">
              <w:t xml:space="preserve"> from 11</w:t>
            </w:r>
            <w:r w:rsidR="00422EF3" w:rsidRPr="00422EF3">
              <w:rPr>
                <w:vertAlign w:val="superscript"/>
              </w:rPr>
              <w:t>th</w:t>
            </w:r>
            <w:r w:rsidR="00422EF3">
              <w:t xml:space="preserve"> of January 2017</w:t>
            </w:r>
          </w:p>
          <w:p w:rsidR="004E30FF" w:rsidRDefault="004E30FF">
            <w:pPr>
              <w:jc w:val="left"/>
            </w:pPr>
          </w:p>
          <w:p w:rsidR="004E30FF" w:rsidRDefault="004E30FF">
            <w:pPr>
              <w:jc w:val="left"/>
              <w:rPr>
                <w:highlight w:val="yellow"/>
              </w:rPr>
            </w:pPr>
          </w:p>
          <w:p w:rsidR="004E30FF" w:rsidRDefault="004E30FF">
            <w:pPr>
              <w:jc w:val="left"/>
              <w:rPr>
                <w:highlight w:val="yellow"/>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0FF" w:rsidRPr="0059359A" w:rsidRDefault="004E30FF">
            <w:pPr>
              <w:rPr>
                <w:b/>
              </w:rPr>
            </w:pPr>
            <w:r w:rsidRPr="0059359A">
              <w:rPr>
                <w:b/>
              </w:rPr>
              <w:t>Project Implementing Unit:</w:t>
            </w:r>
          </w:p>
          <w:p w:rsidR="004E30FF" w:rsidRPr="00785C79" w:rsidRDefault="004E30FF">
            <w:r w:rsidRPr="00785C79">
              <w:t xml:space="preserve">Mr. </w:t>
            </w:r>
            <w:proofErr w:type="spellStart"/>
            <w:r w:rsidR="00785C79" w:rsidRPr="00785C79">
              <w:t>Jasur</w:t>
            </w:r>
            <w:proofErr w:type="spellEnd"/>
            <w:r w:rsidR="00785C79" w:rsidRPr="00785C79">
              <w:t xml:space="preserve"> </w:t>
            </w:r>
            <w:proofErr w:type="spellStart"/>
            <w:r w:rsidR="00785C79" w:rsidRPr="00785C79">
              <w:t>Hamidov</w:t>
            </w:r>
            <w:proofErr w:type="spellEnd"/>
            <w:r w:rsidRPr="00785C79">
              <w:t>, Head of PIU</w:t>
            </w:r>
          </w:p>
          <w:p w:rsidR="004E30FF" w:rsidRPr="00785C79" w:rsidRDefault="004E30FF">
            <w:r w:rsidRPr="00785C79">
              <w:t xml:space="preserve">Address: </w:t>
            </w:r>
            <w:proofErr w:type="spellStart"/>
            <w:r w:rsidRPr="00785C79">
              <w:t>Uchtepa</w:t>
            </w:r>
            <w:proofErr w:type="spellEnd"/>
            <w:r w:rsidRPr="00785C79">
              <w:t xml:space="preserve"> dist</w:t>
            </w:r>
            <w:r w:rsidR="00E331DF" w:rsidRPr="00785C79">
              <w:t>r</w:t>
            </w:r>
            <w:r w:rsidRPr="00785C79">
              <w:t>ict, “</w:t>
            </w:r>
            <w:proofErr w:type="spellStart"/>
            <w:r w:rsidRPr="00785C79">
              <w:t>Bekobod</w:t>
            </w:r>
            <w:proofErr w:type="spellEnd"/>
            <w:r w:rsidRPr="00785C79">
              <w:t>” Industrial Zone, Tashkent, 100132, Republic of Uzbekistan</w:t>
            </w:r>
          </w:p>
          <w:p w:rsidR="004E30FF" w:rsidRPr="00785C79" w:rsidRDefault="004E30FF">
            <w:r w:rsidRPr="00785C79">
              <w:t xml:space="preserve">Telephone: +998 71 247 </w:t>
            </w:r>
            <w:r w:rsidR="00785C79" w:rsidRPr="00785C79">
              <w:t>38 16</w:t>
            </w:r>
          </w:p>
          <w:p w:rsidR="004E30FF" w:rsidRPr="00E331DF" w:rsidRDefault="004E30FF">
            <w:r w:rsidRPr="00785C79">
              <w:t xml:space="preserve">E-mail: </w:t>
            </w:r>
            <w:hyperlink r:id="rId14" w:history="1">
              <w:r w:rsidRPr="00785C79">
                <w:rPr>
                  <w:rStyle w:val="a8"/>
                </w:rPr>
                <w:t>piu3067@gmail.com</w:t>
              </w:r>
            </w:hyperlink>
            <w:r w:rsidRPr="00E331DF">
              <w:t xml:space="preserve"> </w:t>
            </w:r>
          </w:p>
        </w:tc>
      </w:tr>
      <w:tr w:rsidR="004E30FF" w:rsidTr="00785C79">
        <w:trPr>
          <w:trHeight w:val="2209"/>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0FF" w:rsidRPr="00BD3272" w:rsidRDefault="004E30FF">
            <w:pPr>
              <w:jc w:val="left"/>
              <w:rPr>
                <w:b/>
              </w:rPr>
            </w:pPr>
            <w:r w:rsidRPr="00BD3272">
              <w:rPr>
                <w:b/>
              </w:rPr>
              <w:t xml:space="preserve">Date of the Commencement of the </w:t>
            </w:r>
            <w:r w:rsidR="00422EF3">
              <w:rPr>
                <w:b/>
              </w:rPr>
              <w:t>Services</w:t>
            </w:r>
            <w:r w:rsidRPr="00BD3272">
              <w:rPr>
                <w:b/>
              </w:rPr>
              <w:t>:</w:t>
            </w:r>
          </w:p>
          <w:p w:rsidR="004E30FF" w:rsidRDefault="004E30FF">
            <w:pPr>
              <w:jc w:val="left"/>
            </w:pPr>
            <w:r>
              <w:t>01</w:t>
            </w:r>
            <w:r>
              <w:rPr>
                <w:vertAlign w:val="superscript"/>
              </w:rPr>
              <w:t>st</w:t>
            </w:r>
            <w:r>
              <w:t xml:space="preserve"> of August 2017</w:t>
            </w:r>
          </w:p>
          <w:p w:rsidR="004E30FF" w:rsidRPr="00BD3272" w:rsidRDefault="004E30FF">
            <w:pPr>
              <w:jc w:val="left"/>
              <w:rPr>
                <w:b/>
              </w:rPr>
            </w:pPr>
            <w:r w:rsidRPr="00BD3272">
              <w:rPr>
                <w:b/>
              </w:rPr>
              <w:t>End of the Contract Date:</w:t>
            </w:r>
          </w:p>
          <w:p w:rsidR="004E30FF" w:rsidRDefault="004E30FF" w:rsidP="00785C79">
            <w:pPr>
              <w:jc w:val="left"/>
            </w:pPr>
            <w:r>
              <w:t>30</w:t>
            </w:r>
            <w:r>
              <w:rPr>
                <w:vertAlign w:val="superscript"/>
              </w:rPr>
              <w:t>th</w:t>
            </w:r>
            <w:r>
              <w:t xml:space="preserve"> of June 20</w:t>
            </w:r>
            <w:r w:rsidR="00422EF3">
              <w:t>21</w:t>
            </w:r>
            <w:r w:rsidR="00785C79">
              <w:t xml:space="preserve"> (as per Amendment No. 5</w:t>
            </w:r>
            <w:r w:rsidR="00FA0BA2">
              <w:t>)</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4E30FF" w:rsidRPr="0059359A" w:rsidRDefault="00785C79">
            <w:pPr>
              <w:jc w:val="left"/>
              <w:rPr>
                <w:b/>
              </w:rPr>
            </w:pPr>
            <w:r>
              <w:rPr>
                <w:b/>
              </w:rPr>
              <w:t xml:space="preserve">PIU </w:t>
            </w:r>
            <w:r w:rsidR="004E30FF" w:rsidRPr="0059359A">
              <w:rPr>
                <w:b/>
              </w:rPr>
              <w:t>Consultant:</w:t>
            </w:r>
          </w:p>
          <w:p w:rsidR="004E30FF" w:rsidRPr="00E331DF" w:rsidRDefault="004E30FF">
            <w:pPr>
              <w:jc w:val="left"/>
            </w:pPr>
            <w:proofErr w:type="spellStart"/>
            <w:r w:rsidRPr="00E331DF">
              <w:t>I</w:t>
            </w:r>
            <w:r w:rsidR="00785C79">
              <w:t>nfratech</w:t>
            </w:r>
            <w:proofErr w:type="spellEnd"/>
            <w:r w:rsidR="00785C79">
              <w:t xml:space="preserve"> </w:t>
            </w:r>
            <w:r w:rsidRPr="00E331DF">
              <w:t>Consulting SDN Ltd</w:t>
            </w:r>
          </w:p>
          <w:p w:rsidR="004E30FF" w:rsidRPr="00E331DF" w:rsidRDefault="004E30FF">
            <w:pPr>
              <w:jc w:val="left"/>
            </w:pPr>
            <w:r w:rsidRPr="00E331DF">
              <w:t xml:space="preserve">Authorized representative - Mr. </w:t>
            </w:r>
            <w:proofErr w:type="spellStart"/>
            <w:r w:rsidR="00785C79">
              <w:t>Dilshod</w:t>
            </w:r>
            <w:proofErr w:type="spellEnd"/>
            <w:r w:rsidR="00785C79">
              <w:t xml:space="preserve"> </w:t>
            </w:r>
            <w:proofErr w:type="spellStart"/>
            <w:r w:rsidR="00785C79">
              <w:t>Khalmukhamedov</w:t>
            </w:r>
            <w:proofErr w:type="spellEnd"/>
          </w:p>
          <w:p w:rsidR="004E30FF" w:rsidRPr="00E331DF" w:rsidRDefault="004E30FF">
            <w:pPr>
              <w:jc w:val="left"/>
            </w:pPr>
            <w:r w:rsidRPr="00E331DF">
              <w:t xml:space="preserve">Address: </w:t>
            </w:r>
            <w:proofErr w:type="spellStart"/>
            <w:r w:rsidR="00785C79" w:rsidRPr="007A5AF8">
              <w:t>Shahrizabs</w:t>
            </w:r>
            <w:proofErr w:type="spellEnd"/>
            <w:r w:rsidR="00785C79">
              <w:t xml:space="preserve"> street</w:t>
            </w:r>
            <w:r w:rsidR="00785C79" w:rsidRPr="00C57E48">
              <w:t xml:space="preserve">, </w:t>
            </w:r>
            <w:r w:rsidR="00785C79">
              <w:t>1</w:t>
            </w:r>
            <w:r w:rsidR="00785C79" w:rsidRPr="00C57E48">
              <w:t>6</w:t>
            </w:r>
            <w:r w:rsidR="00785C79">
              <w:t xml:space="preserve">a, </w:t>
            </w:r>
            <w:r w:rsidR="00785C79" w:rsidRPr="00E331DF">
              <w:t xml:space="preserve"> </w:t>
            </w:r>
            <w:r w:rsidR="00785C79">
              <w:t>Tashkent, 100015,</w:t>
            </w:r>
            <w:r w:rsidR="00785C79" w:rsidRPr="00C57E48">
              <w:t xml:space="preserve"> </w:t>
            </w:r>
            <w:r w:rsidR="00785C79" w:rsidRPr="00E331DF">
              <w:t>Republic of Uzbekistan</w:t>
            </w:r>
          </w:p>
          <w:p w:rsidR="004E30FF" w:rsidRPr="00E331DF" w:rsidRDefault="004E30FF">
            <w:pPr>
              <w:jc w:val="left"/>
            </w:pPr>
            <w:r w:rsidRPr="00E331DF">
              <w:t>Phone: +</w:t>
            </w:r>
            <w:r w:rsidR="00785C79">
              <w:t>998 71 256 39 01</w:t>
            </w:r>
          </w:p>
          <w:p w:rsidR="00785C79" w:rsidRPr="00785C79" w:rsidRDefault="004E30FF" w:rsidP="00785C79">
            <w:pPr>
              <w:jc w:val="left"/>
              <w:rPr>
                <w:lang w:val="de-DE"/>
              </w:rPr>
            </w:pPr>
            <w:r w:rsidRPr="00E331DF">
              <w:rPr>
                <w:lang w:val="de-DE"/>
              </w:rPr>
              <w:t>E</w:t>
            </w:r>
            <w:r w:rsidR="00785C79">
              <w:rPr>
                <w:lang w:val="de-DE"/>
              </w:rPr>
              <w:t>-</w:t>
            </w:r>
            <w:proofErr w:type="spellStart"/>
            <w:r w:rsidR="00785C79">
              <w:rPr>
                <w:lang w:val="de-DE"/>
              </w:rPr>
              <w:t>mail</w:t>
            </w:r>
            <w:proofErr w:type="spellEnd"/>
            <w:r w:rsidR="00785C79">
              <w:rPr>
                <w:lang w:val="de-DE"/>
              </w:rPr>
              <w:t>:</w:t>
            </w:r>
            <w:r w:rsidR="00785C79">
              <w:t xml:space="preserve"> </w:t>
            </w:r>
            <w:hyperlink r:id="rId15" w:history="1">
              <w:r w:rsidR="00785C79" w:rsidRPr="00994761">
                <w:rPr>
                  <w:rStyle w:val="a8"/>
                </w:rPr>
                <w:t>infratech_consulting@asia.com</w:t>
              </w:r>
            </w:hyperlink>
          </w:p>
        </w:tc>
      </w:tr>
      <w:tr w:rsidR="004E30FF" w:rsidTr="00785C79">
        <w:trPr>
          <w:trHeight w:val="1188"/>
        </w:trPr>
        <w:tc>
          <w:tcPr>
            <w:tcW w:w="2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EF3" w:rsidRPr="0059359A" w:rsidRDefault="00422EF3" w:rsidP="00422EF3">
            <w:pPr>
              <w:jc w:val="left"/>
              <w:rPr>
                <w:b/>
              </w:rPr>
            </w:pPr>
            <w:r w:rsidRPr="0059359A">
              <w:rPr>
                <w:b/>
              </w:rPr>
              <w:t>Name of Consultant’s Team Leader, telephone and email:</w:t>
            </w:r>
          </w:p>
          <w:p w:rsidR="004E30FF" w:rsidRDefault="004E30FF">
            <w:pPr>
              <w:jc w:val="left"/>
              <w:rPr>
                <w:highlight w:val="yellow"/>
                <w:lang w:val="de-DE"/>
              </w:rPr>
            </w:pPr>
          </w:p>
        </w:tc>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0FF" w:rsidRPr="00E331DF" w:rsidRDefault="004E30FF">
            <w:r w:rsidRPr="00E331DF">
              <w:t xml:space="preserve">Mr. </w:t>
            </w:r>
            <w:proofErr w:type="spellStart"/>
            <w:r w:rsidR="00785C79">
              <w:t>Dilshod</w:t>
            </w:r>
            <w:proofErr w:type="spellEnd"/>
            <w:r w:rsidR="00785C79">
              <w:t xml:space="preserve"> </w:t>
            </w:r>
            <w:proofErr w:type="spellStart"/>
            <w:r w:rsidR="00785C79">
              <w:t>Mavlyan-Kariev</w:t>
            </w:r>
            <w:proofErr w:type="spellEnd"/>
          </w:p>
          <w:p w:rsidR="004E30FF" w:rsidRPr="00E331DF" w:rsidRDefault="004E30FF">
            <w:r w:rsidRPr="00E331DF">
              <w:t>Phone: +998 90</w:t>
            </w:r>
            <w:r w:rsidR="00785C79">
              <w:t> 975 27 00</w:t>
            </w:r>
            <w:r w:rsidRPr="00E331DF">
              <w:t xml:space="preserve"> </w:t>
            </w:r>
          </w:p>
          <w:p w:rsidR="004E30FF" w:rsidRPr="00E331DF" w:rsidRDefault="004E30FF" w:rsidP="00785C79">
            <w:r w:rsidRPr="00E331DF">
              <w:rPr>
                <w:rFonts w:eastAsia="Times New Roman" w:cs="Calibri"/>
              </w:rPr>
              <w:t xml:space="preserve">E-mail: </w:t>
            </w:r>
            <w:hyperlink r:id="rId16" w:history="1">
              <w:r w:rsidR="00785C79" w:rsidRPr="008849A3">
                <w:rPr>
                  <w:rStyle w:val="a8"/>
                </w:rPr>
                <w:t>dilshod75@mail.ru</w:t>
              </w:r>
            </w:hyperlink>
            <w:r w:rsidR="00785C79">
              <w:t xml:space="preserve"> </w:t>
            </w:r>
          </w:p>
        </w:tc>
      </w:tr>
    </w:tbl>
    <w:p w:rsidR="004E30FF" w:rsidRDefault="004E30FF">
      <w:pPr>
        <w:rPr>
          <w:lang w:eastAsia="de-DE"/>
        </w:rPr>
      </w:pPr>
    </w:p>
    <w:p w:rsidR="004E30FF" w:rsidRDefault="004E30FF">
      <w:pPr>
        <w:rPr>
          <w:lang w:eastAsia="de-DE"/>
        </w:rPr>
      </w:pPr>
    </w:p>
    <w:p w:rsidR="004E30FF" w:rsidRDefault="004E30FF">
      <w:pPr>
        <w:rPr>
          <w:lang w:eastAsia="de-DE"/>
        </w:rPr>
      </w:pPr>
    </w:p>
    <w:p w:rsidR="004E30FF" w:rsidRDefault="004E30FF">
      <w:pPr>
        <w:rPr>
          <w:lang w:eastAsia="de-DE"/>
        </w:rPr>
      </w:pPr>
    </w:p>
    <w:p w:rsidR="004E30FF" w:rsidRDefault="004E30FF">
      <w:pPr>
        <w:rPr>
          <w:lang w:eastAsia="de-DE"/>
        </w:rPr>
      </w:pPr>
    </w:p>
    <w:p w:rsidR="004E30FF" w:rsidRDefault="004E30FF">
      <w:pPr>
        <w:rPr>
          <w:lang w:eastAsia="de-DE"/>
        </w:rPr>
      </w:pPr>
    </w:p>
    <w:p w:rsidR="004E30FF" w:rsidRDefault="004E30FF">
      <w:pPr>
        <w:rPr>
          <w:lang w:eastAsia="de-DE"/>
        </w:rPr>
      </w:pPr>
    </w:p>
    <w:p w:rsidR="004E30FF" w:rsidRDefault="004E30FF">
      <w:pPr>
        <w:rPr>
          <w:lang w:eastAsia="de-DE"/>
        </w:rPr>
      </w:pPr>
    </w:p>
    <w:p w:rsidR="004E30FF" w:rsidRDefault="004E30FF">
      <w:bookmarkStart w:id="1" w:name="_Toc499956968"/>
    </w:p>
    <w:p w:rsidR="004E30FF" w:rsidRDefault="004E30FF">
      <w:pPr>
        <w:pStyle w:val="af6"/>
        <w:pageBreakBefore/>
      </w:pPr>
      <w:r>
        <w:lastRenderedPageBreak/>
        <w:t>Contents</w:t>
      </w:r>
      <w:bookmarkEnd w:id="1"/>
    </w:p>
    <w:p w:rsidR="004E30FF" w:rsidRDefault="004E30FF">
      <w:pPr>
        <w:pStyle w:val="af6"/>
      </w:pPr>
    </w:p>
    <w:p w:rsidR="00BA3081" w:rsidRDefault="00972F30">
      <w:pPr>
        <w:pStyle w:val="13"/>
        <w:rPr>
          <w:rFonts w:asciiTheme="minorHAnsi" w:eastAsiaTheme="minorEastAsia" w:hAnsiTheme="minorHAnsi" w:cstheme="minorBidi"/>
          <w:b w:val="0"/>
          <w:bCs w:val="0"/>
          <w:caps w:val="0"/>
          <w:noProof/>
          <w:sz w:val="22"/>
          <w:szCs w:val="22"/>
          <w:lang w:val="ru-RU" w:eastAsia="ru-RU"/>
        </w:rPr>
      </w:pPr>
      <w:r>
        <w:fldChar w:fldCharType="begin"/>
      </w:r>
      <w:r w:rsidR="004E30FF">
        <w:instrText xml:space="preserve"> TOC \z \o "1-2" \u \h</w:instrText>
      </w:r>
      <w:r>
        <w:fldChar w:fldCharType="separate"/>
      </w:r>
      <w:hyperlink w:anchor="_Toc64301495" w:history="1">
        <w:r w:rsidR="00BA3081" w:rsidRPr="007B6734">
          <w:rPr>
            <w:rStyle w:val="a8"/>
            <w:noProof/>
          </w:rPr>
          <w:t>1</w:t>
        </w:r>
        <w:r w:rsidR="00BA3081">
          <w:rPr>
            <w:rFonts w:asciiTheme="minorHAnsi" w:eastAsiaTheme="minorEastAsia" w:hAnsiTheme="minorHAnsi" w:cstheme="minorBidi"/>
            <w:b w:val="0"/>
            <w:bCs w:val="0"/>
            <w:caps w:val="0"/>
            <w:noProof/>
            <w:sz w:val="22"/>
            <w:szCs w:val="22"/>
            <w:lang w:val="ru-RU" w:eastAsia="ru-RU"/>
          </w:rPr>
          <w:tab/>
        </w:r>
        <w:r w:rsidR="00BA3081" w:rsidRPr="007B6734">
          <w:rPr>
            <w:rStyle w:val="a8"/>
            <w:noProof/>
          </w:rPr>
          <w:t>EXECUTIVE SUMMARY</w:t>
        </w:r>
        <w:r w:rsidR="00BA3081">
          <w:rPr>
            <w:noProof/>
            <w:webHidden/>
          </w:rPr>
          <w:tab/>
        </w:r>
        <w:r>
          <w:rPr>
            <w:noProof/>
            <w:webHidden/>
          </w:rPr>
          <w:fldChar w:fldCharType="begin"/>
        </w:r>
        <w:r w:rsidR="00BA3081">
          <w:rPr>
            <w:noProof/>
            <w:webHidden/>
          </w:rPr>
          <w:instrText xml:space="preserve"> PAGEREF _Toc64301495 \h </w:instrText>
        </w:r>
        <w:r>
          <w:rPr>
            <w:noProof/>
            <w:webHidden/>
          </w:rPr>
        </w:r>
        <w:r>
          <w:rPr>
            <w:noProof/>
            <w:webHidden/>
          </w:rPr>
          <w:fldChar w:fldCharType="separate"/>
        </w:r>
        <w:r w:rsidR="00E62D34">
          <w:rPr>
            <w:noProof/>
            <w:webHidden/>
          </w:rPr>
          <w:t>5</w:t>
        </w:r>
        <w:r>
          <w:rPr>
            <w:noProof/>
            <w:webHidden/>
          </w:rPr>
          <w:fldChar w:fldCharType="end"/>
        </w:r>
      </w:hyperlink>
    </w:p>
    <w:p w:rsidR="00BA3081" w:rsidRDefault="00972F30">
      <w:pPr>
        <w:pStyle w:val="13"/>
        <w:rPr>
          <w:rFonts w:asciiTheme="minorHAnsi" w:eastAsiaTheme="minorEastAsia" w:hAnsiTheme="minorHAnsi" w:cstheme="minorBidi"/>
          <w:b w:val="0"/>
          <w:bCs w:val="0"/>
          <w:caps w:val="0"/>
          <w:noProof/>
          <w:sz w:val="22"/>
          <w:szCs w:val="22"/>
          <w:lang w:val="ru-RU" w:eastAsia="ru-RU"/>
        </w:rPr>
      </w:pPr>
      <w:hyperlink w:anchor="_Toc64301496" w:history="1">
        <w:r w:rsidR="00BA3081" w:rsidRPr="007B6734">
          <w:rPr>
            <w:rStyle w:val="a8"/>
            <w:noProof/>
          </w:rPr>
          <w:t>2</w:t>
        </w:r>
        <w:r w:rsidR="00BA3081">
          <w:rPr>
            <w:rFonts w:asciiTheme="minorHAnsi" w:eastAsiaTheme="minorEastAsia" w:hAnsiTheme="minorHAnsi" w:cstheme="minorBidi"/>
            <w:b w:val="0"/>
            <w:bCs w:val="0"/>
            <w:caps w:val="0"/>
            <w:noProof/>
            <w:sz w:val="22"/>
            <w:szCs w:val="22"/>
            <w:lang w:val="ru-RU" w:eastAsia="ru-RU"/>
          </w:rPr>
          <w:tab/>
        </w:r>
        <w:r w:rsidR="00BA3081" w:rsidRPr="007B6734">
          <w:rPr>
            <w:rStyle w:val="a8"/>
            <w:noProof/>
          </w:rPr>
          <w:t>Project Description</w:t>
        </w:r>
        <w:r w:rsidR="00BA3081">
          <w:rPr>
            <w:noProof/>
            <w:webHidden/>
          </w:rPr>
          <w:tab/>
        </w:r>
        <w:r>
          <w:rPr>
            <w:noProof/>
            <w:webHidden/>
          </w:rPr>
          <w:fldChar w:fldCharType="begin"/>
        </w:r>
        <w:r w:rsidR="00BA3081">
          <w:rPr>
            <w:noProof/>
            <w:webHidden/>
          </w:rPr>
          <w:instrText xml:space="preserve"> PAGEREF _Toc64301496 \h </w:instrText>
        </w:r>
        <w:r>
          <w:rPr>
            <w:noProof/>
            <w:webHidden/>
          </w:rPr>
        </w:r>
        <w:r>
          <w:rPr>
            <w:noProof/>
            <w:webHidden/>
          </w:rPr>
          <w:fldChar w:fldCharType="separate"/>
        </w:r>
        <w:r w:rsidR="00E62D34">
          <w:rPr>
            <w:noProof/>
            <w:webHidden/>
          </w:rPr>
          <w:t>7</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497" w:history="1">
        <w:r w:rsidR="00BA3081" w:rsidRPr="007B6734">
          <w:rPr>
            <w:rStyle w:val="a8"/>
            <w:noProof/>
          </w:rPr>
          <w:t>2.1</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Project Description</w:t>
        </w:r>
        <w:r w:rsidR="00BA3081">
          <w:rPr>
            <w:noProof/>
            <w:webHidden/>
          </w:rPr>
          <w:tab/>
        </w:r>
        <w:r>
          <w:rPr>
            <w:noProof/>
            <w:webHidden/>
          </w:rPr>
          <w:fldChar w:fldCharType="begin"/>
        </w:r>
        <w:r w:rsidR="00BA3081">
          <w:rPr>
            <w:noProof/>
            <w:webHidden/>
          </w:rPr>
          <w:instrText xml:space="preserve"> PAGEREF _Toc64301497 \h </w:instrText>
        </w:r>
        <w:r>
          <w:rPr>
            <w:noProof/>
            <w:webHidden/>
          </w:rPr>
        </w:r>
        <w:r>
          <w:rPr>
            <w:noProof/>
            <w:webHidden/>
          </w:rPr>
          <w:fldChar w:fldCharType="separate"/>
        </w:r>
        <w:r w:rsidR="00E62D34">
          <w:rPr>
            <w:noProof/>
            <w:webHidden/>
          </w:rPr>
          <w:t>7</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498" w:history="1">
        <w:r w:rsidR="00BA3081" w:rsidRPr="007B6734">
          <w:rPr>
            <w:rStyle w:val="a8"/>
            <w:noProof/>
          </w:rPr>
          <w:t>2.2</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Source of Funding &amp; Loan Proceeds Category</w:t>
        </w:r>
        <w:r w:rsidR="00BA3081">
          <w:rPr>
            <w:noProof/>
            <w:webHidden/>
          </w:rPr>
          <w:tab/>
        </w:r>
        <w:r>
          <w:rPr>
            <w:noProof/>
            <w:webHidden/>
          </w:rPr>
          <w:fldChar w:fldCharType="begin"/>
        </w:r>
        <w:r w:rsidR="00BA3081">
          <w:rPr>
            <w:noProof/>
            <w:webHidden/>
          </w:rPr>
          <w:instrText xml:space="preserve"> PAGEREF _Toc64301498 \h </w:instrText>
        </w:r>
        <w:r>
          <w:rPr>
            <w:noProof/>
            <w:webHidden/>
          </w:rPr>
        </w:r>
        <w:r>
          <w:rPr>
            <w:noProof/>
            <w:webHidden/>
          </w:rPr>
          <w:fldChar w:fldCharType="separate"/>
        </w:r>
        <w:r w:rsidR="00E62D34">
          <w:rPr>
            <w:noProof/>
            <w:webHidden/>
          </w:rPr>
          <w:t>8</w:t>
        </w:r>
        <w:r>
          <w:rPr>
            <w:noProof/>
            <w:webHidden/>
          </w:rPr>
          <w:fldChar w:fldCharType="end"/>
        </w:r>
      </w:hyperlink>
    </w:p>
    <w:p w:rsidR="00BA3081" w:rsidRDefault="00972F30">
      <w:pPr>
        <w:pStyle w:val="13"/>
        <w:rPr>
          <w:rFonts w:asciiTheme="minorHAnsi" w:eastAsiaTheme="minorEastAsia" w:hAnsiTheme="minorHAnsi" w:cstheme="minorBidi"/>
          <w:b w:val="0"/>
          <w:bCs w:val="0"/>
          <w:caps w:val="0"/>
          <w:noProof/>
          <w:sz w:val="22"/>
          <w:szCs w:val="22"/>
          <w:lang w:val="ru-RU" w:eastAsia="ru-RU"/>
        </w:rPr>
      </w:pPr>
      <w:hyperlink w:anchor="_Toc64301499" w:history="1">
        <w:r w:rsidR="00BA3081" w:rsidRPr="007B6734">
          <w:rPr>
            <w:rStyle w:val="a8"/>
            <w:noProof/>
          </w:rPr>
          <w:t>3</w:t>
        </w:r>
        <w:r w:rsidR="00BA3081">
          <w:rPr>
            <w:rFonts w:asciiTheme="minorHAnsi" w:eastAsiaTheme="minorEastAsia" w:hAnsiTheme="minorHAnsi" w:cstheme="minorBidi"/>
            <w:b w:val="0"/>
            <w:bCs w:val="0"/>
            <w:caps w:val="0"/>
            <w:noProof/>
            <w:sz w:val="22"/>
            <w:szCs w:val="22"/>
            <w:lang w:val="ru-RU" w:eastAsia="ru-RU"/>
          </w:rPr>
          <w:tab/>
        </w:r>
        <w:r w:rsidR="00BA3081" w:rsidRPr="007B6734">
          <w:rPr>
            <w:rStyle w:val="a8"/>
            <w:noProof/>
          </w:rPr>
          <w:t>CONSULTANT TASKS and Activities DURING THE REPORTING PERIOD</w:t>
        </w:r>
        <w:r w:rsidR="00BA3081">
          <w:rPr>
            <w:noProof/>
            <w:webHidden/>
          </w:rPr>
          <w:tab/>
        </w:r>
        <w:r>
          <w:rPr>
            <w:noProof/>
            <w:webHidden/>
          </w:rPr>
          <w:fldChar w:fldCharType="begin"/>
        </w:r>
        <w:r w:rsidR="00BA3081">
          <w:rPr>
            <w:noProof/>
            <w:webHidden/>
          </w:rPr>
          <w:instrText xml:space="preserve"> PAGEREF _Toc64301499 \h </w:instrText>
        </w:r>
        <w:r>
          <w:rPr>
            <w:noProof/>
            <w:webHidden/>
          </w:rPr>
        </w:r>
        <w:r>
          <w:rPr>
            <w:noProof/>
            <w:webHidden/>
          </w:rPr>
          <w:fldChar w:fldCharType="separate"/>
        </w:r>
        <w:r w:rsidR="00E62D34">
          <w:rPr>
            <w:noProof/>
            <w:webHidden/>
          </w:rPr>
          <w:t>9</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0" w:history="1">
        <w:r w:rsidR="00BA3081" w:rsidRPr="007B6734">
          <w:rPr>
            <w:rStyle w:val="a8"/>
            <w:noProof/>
          </w:rPr>
          <w:t>3.1</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Project Management (TOR Task A)</w:t>
        </w:r>
        <w:r w:rsidR="00BA3081">
          <w:rPr>
            <w:noProof/>
            <w:webHidden/>
          </w:rPr>
          <w:tab/>
        </w:r>
        <w:r>
          <w:rPr>
            <w:noProof/>
            <w:webHidden/>
          </w:rPr>
          <w:fldChar w:fldCharType="begin"/>
        </w:r>
        <w:r w:rsidR="00BA3081">
          <w:rPr>
            <w:noProof/>
            <w:webHidden/>
          </w:rPr>
          <w:instrText xml:space="preserve"> PAGEREF _Toc64301500 \h </w:instrText>
        </w:r>
        <w:r>
          <w:rPr>
            <w:noProof/>
            <w:webHidden/>
          </w:rPr>
        </w:r>
        <w:r>
          <w:rPr>
            <w:noProof/>
            <w:webHidden/>
          </w:rPr>
          <w:fldChar w:fldCharType="separate"/>
        </w:r>
        <w:r w:rsidR="00E62D34">
          <w:rPr>
            <w:noProof/>
            <w:webHidden/>
          </w:rPr>
          <w:t>9</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1" w:history="1">
        <w:r w:rsidR="00BA3081" w:rsidRPr="007B6734">
          <w:rPr>
            <w:rStyle w:val="a8"/>
            <w:noProof/>
          </w:rPr>
          <w:t>3.2</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Procurement (TOR Task B)</w:t>
        </w:r>
        <w:r w:rsidR="00BA3081">
          <w:rPr>
            <w:noProof/>
            <w:webHidden/>
          </w:rPr>
          <w:tab/>
        </w:r>
        <w:r>
          <w:rPr>
            <w:noProof/>
            <w:webHidden/>
          </w:rPr>
          <w:fldChar w:fldCharType="begin"/>
        </w:r>
        <w:r w:rsidR="00BA3081">
          <w:rPr>
            <w:noProof/>
            <w:webHidden/>
          </w:rPr>
          <w:instrText xml:space="preserve"> PAGEREF _Toc64301501 \h </w:instrText>
        </w:r>
        <w:r>
          <w:rPr>
            <w:noProof/>
            <w:webHidden/>
          </w:rPr>
        </w:r>
        <w:r>
          <w:rPr>
            <w:noProof/>
            <w:webHidden/>
          </w:rPr>
          <w:fldChar w:fldCharType="separate"/>
        </w:r>
        <w:r w:rsidR="00E62D34">
          <w:rPr>
            <w:noProof/>
            <w:webHidden/>
          </w:rPr>
          <w:t>10</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2" w:history="1">
        <w:r w:rsidR="00BA3081" w:rsidRPr="007B6734">
          <w:rPr>
            <w:rStyle w:val="a8"/>
            <w:noProof/>
          </w:rPr>
          <w:t>3.3</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Construction Supervision &amp; Monitoring (TOR Task C)</w:t>
        </w:r>
        <w:r w:rsidR="00BA3081">
          <w:rPr>
            <w:noProof/>
            <w:webHidden/>
          </w:rPr>
          <w:tab/>
        </w:r>
        <w:r>
          <w:rPr>
            <w:noProof/>
            <w:webHidden/>
          </w:rPr>
          <w:fldChar w:fldCharType="begin"/>
        </w:r>
        <w:r w:rsidR="00BA3081">
          <w:rPr>
            <w:noProof/>
            <w:webHidden/>
          </w:rPr>
          <w:instrText xml:space="preserve"> PAGEREF _Toc64301502 \h </w:instrText>
        </w:r>
        <w:r>
          <w:rPr>
            <w:noProof/>
            <w:webHidden/>
          </w:rPr>
        </w:r>
        <w:r>
          <w:rPr>
            <w:noProof/>
            <w:webHidden/>
          </w:rPr>
          <w:fldChar w:fldCharType="separate"/>
        </w:r>
        <w:r w:rsidR="00E62D34">
          <w:rPr>
            <w:noProof/>
            <w:webHidden/>
          </w:rPr>
          <w:t>15</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3" w:history="1">
        <w:r w:rsidR="00BA3081" w:rsidRPr="007B6734">
          <w:rPr>
            <w:rStyle w:val="a8"/>
            <w:noProof/>
          </w:rPr>
          <w:t>3.4</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Contracts Administration (TOR Task D)</w:t>
        </w:r>
        <w:r w:rsidR="00BA3081">
          <w:rPr>
            <w:noProof/>
            <w:webHidden/>
          </w:rPr>
          <w:tab/>
        </w:r>
        <w:r>
          <w:rPr>
            <w:noProof/>
            <w:webHidden/>
          </w:rPr>
          <w:fldChar w:fldCharType="begin"/>
        </w:r>
        <w:r w:rsidR="00BA3081">
          <w:rPr>
            <w:noProof/>
            <w:webHidden/>
          </w:rPr>
          <w:instrText xml:space="preserve"> PAGEREF _Toc64301503 \h </w:instrText>
        </w:r>
        <w:r>
          <w:rPr>
            <w:noProof/>
            <w:webHidden/>
          </w:rPr>
        </w:r>
        <w:r>
          <w:rPr>
            <w:noProof/>
            <w:webHidden/>
          </w:rPr>
          <w:fldChar w:fldCharType="separate"/>
        </w:r>
        <w:r w:rsidR="00E62D34">
          <w:rPr>
            <w:noProof/>
            <w:webHidden/>
          </w:rPr>
          <w:t>16</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4" w:history="1">
        <w:r w:rsidR="00BA3081" w:rsidRPr="007B6734">
          <w:rPr>
            <w:rStyle w:val="a8"/>
            <w:noProof/>
          </w:rPr>
          <w:t>3.5</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Safeguards Implementation, Monitoring and Evaluation (TOR Task E)</w:t>
        </w:r>
        <w:r w:rsidR="00BA3081">
          <w:rPr>
            <w:noProof/>
            <w:webHidden/>
          </w:rPr>
          <w:tab/>
        </w:r>
        <w:r>
          <w:rPr>
            <w:noProof/>
            <w:webHidden/>
          </w:rPr>
          <w:fldChar w:fldCharType="begin"/>
        </w:r>
        <w:r w:rsidR="00BA3081">
          <w:rPr>
            <w:noProof/>
            <w:webHidden/>
          </w:rPr>
          <w:instrText xml:space="preserve"> PAGEREF _Toc64301504 \h </w:instrText>
        </w:r>
        <w:r>
          <w:rPr>
            <w:noProof/>
            <w:webHidden/>
          </w:rPr>
        </w:r>
        <w:r>
          <w:rPr>
            <w:noProof/>
            <w:webHidden/>
          </w:rPr>
          <w:fldChar w:fldCharType="separate"/>
        </w:r>
        <w:r w:rsidR="00E62D34">
          <w:rPr>
            <w:noProof/>
            <w:webHidden/>
          </w:rPr>
          <w:t>19</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5" w:history="1">
        <w:r w:rsidR="00BA3081" w:rsidRPr="007B6734">
          <w:rPr>
            <w:rStyle w:val="a8"/>
            <w:noProof/>
          </w:rPr>
          <w:t>3.6</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Media and Public Relations (TOR Task F)</w:t>
        </w:r>
        <w:r w:rsidR="00BA3081">
          <w:rPr>
            <w:noProof/>
            <w:webHidden/>
          </w:rPr>
          <w:tab/>
        </w:r>
        <w:r>
          <w:rPr>
            <w:noProof/>
            <w:webHidden/>
          </w:rPr>
          <w:fldChar w:fldCharType="begin"/>
        </w:r>
        <w:r w:rsidR="00BA3081">
          <w:rPr>
            <w:noProof/>
            <w:webHidden/>
          </w:rPr>
          <w:instrText xml:space="preserve"> PAGEREF _Toc64301505 \h </w:instrText>
        </w:r>
        <w:r>
          <w:rPr>
            <w:noProof/>
            <w:webHidden/>
          </w:rPr>
        </w:r>
        <w:r>
          <w:rPr>
            <w:noProof/>
            <w:webHidden/>
          </w:rPr>
          <w:fldChar w:fldCharType="separate"/>
        </w:r>
        <w:r w:rsidR="00E62D34">
          <w:rPr>
            <w:noProof/>
            <w:webHidden/>
          </w:rPr>
          <w:t>21</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6" w:history="1">
        <w:r w:rsidR="00BA3081" w:rsidRPr="007B6734">
          <w:rPr>
            <w:rStyle w:val="a8"/>
            <w:noProof/>
          </w:rPr>
          <w:t>3.7</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Other activities and tasks performed by the Consultant</w:t>
        </w:r>
        <w:r w:rsidR="00BA3081">
          <w:rPr>
            <w:noProof/>
            <w:webHidden/>
          </w:rPr>
          <w:tab/>
        </w:r>
        <w:r>
          <w:rPr>
            <w:noProof/>
            <w:webHidden/>
          </w:rPr>
          <w:fldChar w:fldCharType="begin"/>
        </w:r>
        <w:r w:rsidR="00BA3081">
          <w:rPr>
            <w:noProof/>
            <w:webHidden/>
          </w:rPr>
          <w:instrText xml:space="preserve"> PAGEREF _Toc64301506 \h </w:instrText>
        </w:r>
        <w:r>
          <w:rPr>
            <w:noProof/>
            <w:webHidden/>
          </w:rPr>
        </w:r>
        <w:r>
          <w:rPr>
            <w:noProof/>
            <w:webHidden/>
          </w:rPr>
          <w:fldChar w:fldCharType="separate"/>
        </w:r>
        <w:r w:rsidR="00E62D34">
          <w:rPr>
            <w:noProof/>
            <w:webHidden/>
          </w:rPr>
          <w:t>21</w:t>
        </w:r>
        <w:r>
          <w:rPr>
            <w:noProof/>
            <w:webHidden/>
          </w:rPr>
          <w:fldChar w:fldCharType="end"/>
        </w:r>
      </w:hyperlink>
    </w:p>
    <w:p w:rsidR="00BA3081" w:rsidRDefault="00972F30">
      <w:pPr>
        <w:pStyle w:val="13"/>
        <w:rPr>
          <w:rFonts w:asciiTheme="minorHAnsi" w:eastAsiaTheme="minorEastAsia" w:hAnsiTheme="minorHAnsi" w:cstheme="minorBidi"/>
          <w:b w:val="0"/>
          <w:bCs w:val="0"/>
          <w:caps w:val="0"/>
          <w:noProof/>
          <w:sz w:val="22"/>
          <w:szCs w:val="22"/>
          <w:lang w:val="ru-RU" w:eastAsia="ru-RU"/>
        </w:rPr>
      </w:pPr>
      <w:hyperlink w:anchor="_Toc64301507" w:history="1">
        <w:r w:rsidR="00BA3081" w:rsidRPr="007B6734">
          <w:rPr>
            <w:rStyle w:val="a8"/>
            <w:noProof/>
          </w:rPr>
          <w:t>4</w:t>
        </w:r>
        <w:r w:rsidR="00BA3081">
          <w:rPr>
            <w:rFonts w:asciiTheme="minorHAnsi" w:eastAsiaTheme="minorEastAsia" w:hAnsiTheme="minorHAnsi" w:cstheme="minorBidi"/>
            <w:b w:val="0"/>
            <w:bCs w:val="0"/>
            <w:caps w:val="0"/>
            <w:noProof/>
            <w:sz w:val="22"/>
            <w:szCs w:val="22"/>
            <w:lang w:val="ru-RU" w:eastAsia="ru-RU"/>
          </w:rPr>
          <w:tab/>
        </w:r>
        <w:r w:rsidR="00BA3081" w:rsidRPr="007B6734">
          <w:rPr>
            <w:rStyle w:val="a8"/>
            <w:noProof/>
          </w:rPr>
          <w:t>Activities planned for the next reporting period</w:t>
        </w:r>
        <w:r w:rsidR="00BA3081">
          <w:rPr>
            <w:noProof/>
            <w:webHidden/>
          </w:rPr>
          <w:tab/>
        </w:r>
        <w:r>
          <w:rPr>
            <w:noProof/>
            <w:webHidden/>
          </w:rPr>
          <w:fldChar w:fldCharType="begin"/>
        </w:r>
        <w:r w:rsidR="00BA3081">
          <w:rPr>
            <w:noProof/>
            <w:webHidden/>
          </w:rPr>
          <w:instrText xml:space="preserve"> PAGEREF _Toc64301507 \h </w:instrText>
        </w:r>
        <w:r>
          <w:rPr>
            <w:noProof/>
            <w:webHidden/>
          </w:rPr>
        </w:r>
        <w:r>
          <w:rPr>
            <w:noProof/>
            <w:webHidden/>
          </w:rPr>
          <w:fldChar w:fldCharType="separate"/>
        </w:r>
        <w:r w:rsidR="00E62D34">
          <w:rPr>
            <w:noProof/>
            <w:webHidden/>
          </w:rPr>
          <w:t>23</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8" w:history="1">
        <w:r w:rsidR="00BA3081" w:rsidRPr="007B6734">
          <w:rPr>
            <w:rStyle w:val="a8"/>
            <w:noProof/>
          </w:rPr>
          <w:t>4.1</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Project Management (TOR Task A)</w:t>
        </w:r>
        <w:r w:rsidR="00BA3081">
          <w:rPr>
            <w:noProof/>
            <w:webHidden/>
          </w:rPr>
          <w:tab/>
        </w:r>
        <w:r>
          <w:rPr>
            <w:noProof/>
            <w:webHidden/>
          </w:rPr>
          <w:fldChar w:fldCharType="begin"/>
        </w:r>
        <w:r w:rsidR="00BA3081">
          <w:rPr>
            <w:noProof/>
            <w:webHidden/>
          </w:rPr>
          <w:instrText xml:space="preserve"> PAGEREF _Toc64301508 \h </w:instrText>
        </w:r>
        <w:r>
          <w:rPr>
            <w:noProof/>
            <w:webHidden/>
          </w:rPr>
        </w:r>
        <w:r>
          <w:rPr>
            <w:noProof/>
            <w:webHidden/>
          </w:rPr>
          <w:fldChar w:fldCharType="separate"/>
        </w:r>
        <w:r w:rsidR="00E62D34">
          <w:rPr>
            <w:noProof/>
            <w:webHidden/>
          </w:rPr>
          <w:t>23</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09" w:history="1">
        <w:r w:rsidR="00BA3081" w:rsidRPr="007B6734">
          <w:rPr>
            <w:rStyle w:val="a8"/>
            <w:noProof/>
          </w:rPr>
          <w:t>4.2</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Procurement (TOR Task B)</w:t>
        </w:r>
        <w:r w:rsidR="00BA3081">
          <w:rPr>
            <w:noProof/>
            <w:webHidden/>
          </w:rPr>
          <w:tab/>
        </w:r>
        <w:r>
          <w:rPr>
            <w:noProof/>
            <w:webHidden/>
          </w:rPr>
          <w:fldChar w:fldCharType="begin"/>
        </w:r>
        <w:r w:rsidR="00BA3081">
          <w:rPr>
            <w:noProof/>
            <w:webHidden/>
          </w:rPr>
          <w:instrText xml:space="preserve"> PAGEREF _Toc64301509 \h </w:instrText>
        </w:r>
        <w:r>
          <w:rPr>
            <w:noProof/>
            <w:webHidden/>
          </w:rPr>
        </w:r>
        <w:r>
          <w:rPr>
            <w:noProof/>
            <w:webHidden/>
          </w:rPr>
          <w:fldChar w:fldCharType="separate"/>
        </w:r>
        <w:r w:rsidR="00E62D34">
          <w:rPr>
            <w:noProof/>
            <w:webHidden/>
          </w:rPr>
          <w:t>24</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10" w:history="1">
        <w:r w:rsidR="00BA3081" w:rsidRPr="007B6734">
          <w:rPr>
            <w:rStyle w:val="a8"/>
            <w:noProof/>
          </w:rPr>
          <w:t>4.3</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Construction Supervision &amp; Monitoring (TOR Task c)</w:t>
        </w:r>
        <w:r w:rsidR="00BA3081">
          <w:rPr>
            <w:noProof/>
            <w:webHidden/>
          </w:rPr>
          <w:tab/>
        </w:r>
        <w:r>
          <w:rPr>
            <w:noProof/>
            <w:webHidden/>
          </w:rPr>
          <w:fldChar w:fldCharType="begin"/>
        </w:r>
        <w:r w:rsidR="00BA3081">
          <w:rPr>
            <w:noProof/>
            <w:webHidden/>
          </w:rPr>
          <w:instrText xml:space="preserve"> PAGEREF _Toc64301510 \h </w:instrText>
        </w:r>
        <w:r>
          <w:rPr>
            <w:noProof/>
            <w:webHidden/>
          </w:rPr>
        </w:r>
        <w:r>
          <w:rPr>
            <w:noProof/>
            <w:webHidden/>
          </w:rPr>
          <w:fldChar w:fldCharType="separate"/>
        </w:r>
        <w:r w:rsidR="00E62D34">
          <w:rPr>
            <w:noProof/>
            <w:webHidden/>
          </w:rPr>
          <w:t>24</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11" w:history="1">
        <w:r w:rsidR="00BA3081" w:rsidRPr="007B6734">
          <w:rPr>
            <w:rStyle w:val="a8"/>
            <w:noProof/>
          </w:rPr>
          <w:t>4.4</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Contract Administration (TOR Task D)</w:t>
        </w:r>
        <w:r w:rsidR="00BA3081">
          <w:rPr>
            <w:noProof/>
            <w:webHidden/>
          </w:rPr>
          <w:tab/>
        </w:r>
        <w:r>
          <w:rPr>
            <w:noProof/>
            <w:webHidden/>
          </w:rPr>
          <w:fldChar w:fldCharType="begin"/>
        </w:r>
        <w:r w:rsidR="00BA3081">
          <w:rPr>
            <w:noProof/>
            <w:webHidden/>
          </w:rPr>
          <w:instrText xml:space="preserve"> PAGEREF _Toc64301511 \h </w:instrText>
        </w:r>
        <w:r>
          <w:rPr>
            <w:noProof/>
            <w:webHidden/>
          </w:rPr>
        </w:r>
        <w:r>
          <w:rPr>
            <w:noProof/>
            <w:webHidden/>
          </w:rPr>
          <w:fldChar w:fldCharType="separate"/>
        </w:r>
        <w:r w:rsidR="00E62D34">
          <w:rPr>
            <w:noProof/>
            <w:webHidden/>
          </w:rPr>
          <w:t>25</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12" w:history="1">
        <w:r w:rsidR="00BA3081" w:rsidRPr="007B6734">
          <w:rPr>
            <w:rStyle w:val="a8"/>
            <w:noProof/>
          </w:rPr>
          <w:t>4.5</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Safeguards Implementation, Monitoring and Evaluation (TOR Task E)</w:t>
        </w:r>
        <w:r w:rsidR="00BA3081">
          <w:rPr>
            <w:noProof/>
            <w:webHidden/>
          </w:rPr>
          <w:tab/>
        </w:r>
        <w:r>
          <w:rPr>
            <w:noProof/>
            <w:webHidden/>
          </w:rPr>
          <w:fldChar w:fldCharType="begin"/>
        </w:r>
        <w:r w:rsidR="00BA3081">
          <w:rPr>
            <w:noProof/>
            <w:webHidden/>
          </w:rPr>
          <w:instrText xml:space="preserve"> PAGEREF _Toc64301512 \h </w:instrText>
        </w:r>
        <w:r>
          <w:rPr>
            <w:noProof/>
            <w:webHidden/>
          </w:rPr>
        </w:r>
        <w:r>
          <w:rPr>
            <w:noProof/>
            <w:webHidden/>
          </w:rPr>
          <w:fldChar w:fldCharType="separate"/>
        </w:r>
        <w:r w:rsidR="00E62D34">
          <w:rPr>
            <w:noProof/>
            <w:webHidden/>
          </w:rPr>
          <w:t>26</w:t>
        </w:r>
        <w:r>
          <w:rPr>
            <w:noProof/>
            <w:webHidden/>
          </w:rPr>
          <w:fldChar w:fldCharType="end"/>
        </w:r>
      </w:hyperlink>
    </w:p>
    <w:p w:rsidR="00BA3081" w:rsidRDefault="00972F30">
      <w:pPr>
        <w:pStyle w:val="21"/>
        <w:tabs>
          <w:tab w:val="left" w:pos="600"/>
          <w:tab w:val="right" w:leader="dot" w:pos="9487"/>
        </w:tabs>
        <w:rPr>
          <w:rFonts w:asciiTheme="minorHAnsi" w:eastAsiaTheme="minorEastAsia" w:hAnsiTheme="minorHAnsi" w:cstheme="minorBidi"/>
          <w:b w:val="0"/>
          <w:bCs w:val="0"/>
          <w:noProof/>
          <w:sz w:val="22"/>
          <w:szCs w:val="22"/>
          <w:lang w:val="ru-RU" w:eastAsia="ru-RU"/>
        </w:rPr>
      </w:pPr>
      <w:hyperlink w:anchor="_Toc64301513" w:history="1">
        <w:r w:rsidR="00BA3081" w:rsidRPr="007B6734">
          <w:rPr>
            <w:rStyle w:val="a8"/>
            <w:noProof/>
          </w:rPr>
          <w:t>4.6</w:t>
        </w:r>
        <w:r w:rsidR="00BA3081">
          <w:rPr>
            <w:rFonts w:asciiTheme="minorHAnsi" w:eastAsiaTheme="minorEastAsia" w:hAnsiTheme="minorHAnsi" w:cstheme="minorBidi"/>
            <w:b w:val="0"/>
            <w:bCs w:val="0"/>
            <w:noProof/>
            <w:sz w:val="22"/>
            <w:szCs w:val="22"/>
            <w:lang w:val="ru-RU" w:eastAsia="ru-RU"/>
          </w:rPr>
          <w:tab/>
        </w:r>
        <w:r w:rsidR="00BA3081" w:rsidRPr="007B6734">
          <w:rPr>
            <w:rStyle w:val="a8"/>
            <w:noProof/>
          </w:rPr>
          <w:t>Media and Public Relations (TOR Task F)</w:t>
        </w:r>
        <w:r w:rsidR="00BA3081">
          <w:rPr>
            <w:noProof/>
            <w:webHidden/>
          </w:rPr>
          <w:tab/>
        </w:r>
        <w:r>
          <w:rPr>
            <w:noProof/>
            <w:webHidden/>
          </w:rPr>
          <w:fldChar w:fldCharType="begin"/>
        </w:r>
        <w:r w:rsidR="00BA3081">
          <w:rPr>
            <w:noProof/>
            <w:webHidden/>
          </w:rPr>
          <w:instrText xml:space="preserve"> PAGEREF _Toc64301513 \h </w:instrText>
        </w:r>
        <w:r>
          <w:rPr>
            <w:noProof/>
            <w:webHidden/>
          </w:rPr>
        </w:r>
        <w:r>
          <w:rPr>
            <w:noProof/>
            <w:webHidden/>
          </w:rPr>
          <w:fldChar w:fldCharType="separate"/>
        </w:r>
        <w:r w:rsidR="00E62D34">
          <w:rPr>
            <w:noProof/>
            <w:webHidden/>
          </w:rPr>
          <w:t>26</w:t>
        </w:r>
        <w:r>
          <w:rPr>
            <w:noProof/>
            <w:webHidden/>
          </w:rPr>
          <w:fldChar w:fldCharType="end"/>
        </w:r>
      </w:hyperlink>
    </w:p>
    <w:p w:rsidR="00BA3081" w:rsidRDefault="00972F30">
      <w:pPr>
        <w:pStyle w:val="13"/>
        <w:rPr>
          <w:rFonts w:asciiTheme="minorHAnsi" w:eastAsiaTheme="minorEastAsia" w:hAnsiTheme="minorHAnsi" w:cstheme="minorBidi"/>
          <w:b w:val="0"/>
          <w:bCs w:val="0"/>
          <w:caps w:val="0"/>
          <w:noProof/>
          <w:sz w:val="22"/>
          <w:szCs w:val="22"/>
          <w:lang w:val="ru-RU" w:eastAsia="ru-RU"/>
        </w:rPr>
      </w:pPr>
      <w:hyperlink w:anchor="_Toc64301514" w:history="1">
        <w:r w:rsidR="00BA3081" w:rsidRPr="007B6734">
          <w:rPr>
            <w:rStyle w:val="a8"/>
            <w:noProof/>
          </w:rPr>
          <w:t>5</w:t>
        </w:r>
        <w:r w:rsidR="00BA3081">
          <w:rPr>
            <w:rFonts w:asciiTheme="minorHAnsi" w:eastAsiaTheme="minorEastAsia" w:hAnsiTheme="minorHAnsi" w:cstheme="minorBidi"/>
            <w:b w:val="0"/>
            <w:bCs w:val="0"/>
            <w:caps w:val="0"/>
            <w:noProof/>
            <w:sz w:val="22"/>
            <w:szCs w:val="22"/>
            <w:lang w:val="ru-RU" w:eastAsia="ru-RU"/>
          </w:rPr>
          <w:tab/>
        </w:r>
        <w:r w:rsidR="00BA3081" w:rsidRPr="007B6734">
          <w:rPr>
            <w:rStyle w:val="a8"/>
            <w:noProof/>
          </w:rPr>
          <w:t>Consultant’s staff and budget used</w:t>
        </w:r>
        <w:r w:rsidR="00BA3081">
          <w:rPr>
            <w:noProof/>
            <w:webHidden/>
          </w:rPr>
          <w:tab/>
        </w:r>
        <w:r>
          <w:rPr>
            <w:noProof/>
            <w:webHidden/>
          </w:rPr>
          <w:fldChar w:fldCharType="begin"/>
        </w:r>
        <w:r w:rsidR="00BA3081">
          <w:rPr>
            <w:noProof/>
            <w:webHidden/>
          </w:rPr>
          <w:instrText xml:space="preserve"> PAGEREF _Toc64301514 \h </w:instrText>
        </w:r>
        <w:r>
          <w:rPr>
            <w:noProof/>
            <w:webHidden/>
          </w:rPr>
        </w:r>
        <w:r>
          <w:rPr>
            <w:noProof/>
            <w:webHidden/>
          </w:rPr>
          <w:fldChar w:fldCharType="separate"/>
        </w:r>
        <w:r w:rsidR="00E62D34">
          <w:rPr>
            <w:noProof/>
            <w:webHidden/>
          </w:rPr>
          <w:t>27</w:t>
        </w:r>
        <w:r>
          <w:rPr>
            <w:noProof/>
            <w:webHidden/>
          </w:rPr>
          <w:fldChar w:fldCharType="end"/>
        </w:r>
      </w:hyperlink>
    </w:p>
    <w:p w:rsidR="004E30FF" w:rsidRDefault="00972F30">
      <w:pPr>
        <w:pStyle w:val="13"/>
      </w:pPr>
      <w:r>
        <w:fldChar w:fldCharType="end"/>
      </w:r>
    </w:p>
    <w:p w:rsidR="004E30FF" w:rsidRDefault="004E30FF">
      <w:pPr>
        <w:pStyle w:val="13"/>
      </w:pPr>
      <w:r>
        <w:t>ANNEXES:</w:t>
      </w:r>
    </w:p>
    <w:p w:rsidR="004E30FF" w:rsidRDefault="004E30FF">
      <w:pPr>
        <w:rPr>
          <w:lang w:eastAsia="es-ES"/>
        </w:rPr>
      </w:pPr>
    </w:p>
    <w:p w:rsidR="00963F9E" w:rsidRDefault="004E30FF">
      <w:pPr>
        <w:rPr>
          <w:b/>
          <w:lang w:eastAsia="de-DE"/>
        </w:rPr>
      </w:pPr>
      <w:r>
        <w:rPr>
          <w:b/>
          <w:lang w:eastAsia="de-DE"/>
        </w:rPr>
        <w:t>Annex 1 –</w:t>
      </w:r>
      <w:r w:rsidR="0007286C">
        <w:rPr>
          <w:b/>
          <w:lang w:eastAsia="de-DE"/>
        </w:rPr>
        <w:t xml:space="preserve"> U</w:t>
      </w:r>
      <w:r w:rsidR="0007286C" w:rsidRPr="0007286C">
        <w:rPr>
          <w:b/>
          <w:lang w:eastAsia="de-DE"/>
        </w:rPr>
        <w:t>pdated Procurement Schedule, version No. 8 from 31.12.2020</w:t>
      </w:r>
    </w:p>
    <w:p w:rsidR="0007286C" w:rsidRDefault="0007286C" w:rsidP="0007286C">
      <w:pPr>
        <w:rPr>
          <w:b/>
          <w:lang w:eastAsia="de-DE"/>
        </w:rPr>
      </w:pPr>
      <w:r>
        <w:rPr>
          <w:b/>
          <w:lang w:eastAsia="de-DE"/>
        </w:rPr>
        <w:t xml:space="preserve">Annex 2 – Updated Procurement Plan, version </w:t>
      </w:r>
      <w:r w:rsidRPr="0007286C">
        <w:rPr>
          <w:b/>
          <w:lang w:eastAsia="de-DE"/>
        </w:rPr>
        <w:t xml:space="preserve">No. 8 </w:t>
      </w:r>
      <w:r>
        <w:rPr>
          <w:b/>
          <w:lang w:eastAsia="de-DE"/>
        </w:rPr>
        <w:t xml:space="preserve">from </w:t>
      </w:r>
      <w:r w:rsidRPr="0007286C">
        <w:rPr>
          <w:b/>
          <w:lang w:eastAsia="de-DE"/>
        </w:rPr>
        <w:t>03.12.2020</w:t>
      </w:r>
    </w:p>
    <w:p w:rsidR="0007286C" w:rsidRDefault="0007286C" w:rsidP="0007286C">
      <w:pPr>
        <w:rPr>
          <w:b/>
          <w:lang w:eastAsia="de-DE"/>
        </w:rPr>
      </w:pPr>
      <w:r w:rsidRPr="00812ED8">
        <w:rPr>
          <w:b/>
          <w:lang w:eastAsia="de-DE"/>
        </w:rPr>
        <w:t>A</w:t>
      </w:r>
      <w:r>
        <w:rPr>
          <w:b/>
          <w:lang w:eastAsia="de-DE"/>
        </w:rPr>
        <w:t>nnex 3</w:t>
      </w:r>
      <w:r w:rsidRPr="00812ED8">
        <w:rPr>
          <w:b/>
          <w:lang w:eastAsia="de-DE"/>
        </w:rPr>
        <w:t xml:space="preserve"> – </w:t>
      </w:r>
      <w:r w:rsidRPr="0007286C">
        <w:rPr>
          <w:b/>
          <w:lang w:eastAsia="de-DE"/>
        </w:rPr>
        <w:t>Disbursement Plan for January – June 2021</w:t>
      </w:r>
    </w:p>
    <w:p w:rsidR="007E0A1B" w:rsidRDefault="007E0A1B" w:rsidP="007E0A1B">
      <w:pPr>
        <w:rPr>
          <w:b/>
          <w:lang w:eastAsia="de-DE"/>
        </w:rPr>
      </w:pPr>
      <w:r>
        <w:rPr>
          <w:b/>
          <w:lang w:eastAsia="de-DE"/>
        </w:rPr>
        <w:t xml:space="preserve">Annex 4 – Letter of </w:t>
      </w:r>
      <w:r w:rsidRPr="00CE53E5">
        <w:rPr>
          <w:b/>
          <w:lang w:eastAsia="de-DE"/>
        </w:rPr>
        <w:t>Evergreen Motors Group</w:t>
      </w:r>
      <w:r>
        <w:rPr>
          <w:b/>
          <w:lang w:eastAsia="de-DE"/>
        </w:rPr>
        <w:t xml:space="preserve"> from 10.02.2020</w:t>
      </w:r>
    </w:p>
    <w:p w:rsidR="00963F9E" w:rsidRDefault="0007286C">
      <w:pPr>
        <w:rPr>
          <w:b/>
          <w:lang w:eastAsia="de-DE"/>
        </w:rPr>
      </w:pPr>
      <w:r>
        <w:rPr>
          <w:b/>
          <w:lang w:eastAsia="de-DE"/>
        </w:rPr>
        <w:t xml:space="preserve">Annex </w:t>
      </w:r>
      <w:r w:rsidR="007E0A1B">
        <w:rPr>
          <w:b/>
          <w:lang w:eastAsia="de-DE"/>
        </w:rPr>
        <w:t>5</w:t>
      </w:r>
      <w:r w:rsidR="004E30FF">
        <w:rPr>
          <w:b/>
          <w:lang w:eastAsia="de-DE"/>
        </w:rPr>
        <w:t xml:space="preserve"> – </w:t>
      </w:r>
      <w:r>
        <w:rPr>
          <w:b/>
          <w:lang w:eastAsia="de-DE"/>
        </w:rPr>
        <w:t xml:space="preserve">Updated Project Implementation </w:t>
      </w:r>
      <w:r w:rsidR="004E30FF">
        <w:rPr>
          <w:b/>
          <w:lang w:eastAsia="de-DE"/>
        </w:rPr>
        <w:t>Schedule</w:t>
      </w:r>
      <w:r w:rsidR="003F4516">
        <w:rPr>
          <w:b/>
          <w:lang w:eastAsia="de-DE"/>
        </w:rPr>
        <w:t xml:space="preserve">, </w:t>
      </w:r>
      <w:r w:rsidR="003F4516" w:rsidRPr="0007286C">
        <w:rPr>
          <w:b/>
          <w:lang w:eastAsia="de-DE"/>
        </w:rPr>
        <w:t>version No. 8 from 31.12.2020</w:t>
      </w:r>
    </w:p>
    <w:p w:rsidR="004E30FF" w:rsidRDefault="00812ED8">
      <w:r>
        <w:rPr>
          <w:b/>
          <w:lang w:val="en-GB" w:eastAsia="de-DE"/>
        </w:rPr>
        <w:t xml:space="preserve">  </w:t>
      </w:r>
    </w:p>
    <w:p w:rsidR="004E30FF" w:rsidRPr="000A1DE5" w:rsidRDefault="004E30FF">
      <w:pPr>
        <w:spacing w:after="160" w:line="259" w:lineRule="auto"/>
        <w:jc w:val="left"/>
        <w:rPr>
          <w:rFonts w:eastAsia="Times New Roman" w:cs="Times New Roman"/>
          <w:b/>
          <w:bCs/>
          <w:sz w:val="32"/>
          <w:szCs w:val="24"/>
          <w:u w:val="single"/>
          <w:lang w:eastAsia="es-ES"/>
        </w:rPr>
      </w:pPr>
    </w:p>
    <w:p w:rsidR="004E30FF" w:rsidRDefault="004E30FF">
      <w:pPr>
        <w:pStyle w:val="af6"/>
        <w:pageBreakBefore/>
      </w:pPr>
      <w:r>
        <w:lastRenderedPageBreak/>
        <w:t>List of Abbreviations</w:t>
      </w:r>
    </w:p>
    <w:p w:rsidR="004E30FF" w:rsidRDefault="004E30FF">
      <w:pPr>
        <w:rPr>
          <w:lang w:eastAsia="de-DE"/>
        </w:rPr>
      </w:pPr>
    </w:p>
    <w:tbl>
      <w:tblPr>
        <w:tblW w:w="0" w:type="auto"/>
        <w:tblInd w:w="55" w:type="dxa"/>
        <w:tblLayout w:type="fixed"/>
        <w:tblCellMar>
          <w:left w:w="70" w:type="dxa"/>
          <w:right w:w="70" w:type="dxa"/>
        </w:tblCellMar>
        <w:tblLook w:val="0000"/>
      </w:tblPr>
      <w:tblGrid>
        <w:gridCol w:w="1221"/>
        <w:gridCol w:w="8149"/>
      </w:tblGrid>
      <w:tr w:rsidR="004E30FF">
        <w:trPr>
          <w:trHeight w:val="284"/>
        </w:trPr>
        <w:tc>
          <w:tcPr>
            <w:tcW w:w="1221" w:type="dxa"/>
            <w:tcBorders>
              <w:bottom w:val="single" w:sz="12" w:space="0" w:color="FFFFFF"/>
            </w:tcBorders>
            <w:shd w:val="clear" w:color="auto" w:fill="0066FF"/>
            <w:vAlign w:val="center"/>
          </w:tcPr>
          <w:p w:rsidR="004E30FF" w:rsidRPr="0032518F" w:rsidRDefault="004E30FF">
            <w:pPr>
              <w:rPr>
                <w:b/>
              </w:rPr>
            </w:pPr>
            <w:r w:rsidRPr="0032518F">
              <w:rPr>
                <w:b/>
                <w:lang w:eastAsia="de-DE"/>
              </w:rPr>
              <w:t>ADB</w:t>
            </w:r>
          </w:p>
        </w:tc>
        <w:tc>
          <w:tcPr>
            <w:tcW w:w="8149" w:type="dxa"/>
            <w:tcBorders>
              <w:bottom w:val="single" w:sz="12" w:space="0" w:color="FFFFFF"/>
            </w:tcBorders>
            <w:shd w:val="clear" w:color="auto" w:fill="9CC2E5"/>
            <w:vAlign w:val="center"/>
          </w:tcPr>
          <w:p w:rsidR="004E30FF" w:rsidRDefault="004E30FF">
            <w:r>
              <w:rPr>
                <w:lang w:eastAsia="de-DE"/>
              </w:rPr>
              <w:t>Asian Development Bank</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AFS</w:t>
            </w:r>
          </w:p>
        </w:tc>
        <w:tc>
          <w:tcPr>
            <w:tcW w:w="8149" w:type="dxa"/>
            <w:tcBorders>
              <w:top w:val="single" w:sz="12" w:space="0" w:color="FFFFFF"/>
              <w:bottom w:val="single" w:sz="12" w:space="0" w:color="FFFFFF"/>
            </w:tcBorders>
            <w:shd w:val="clear" w:color="auto" w:fill="9CC2E5"/>
            <w:vAlign w:val="center"/>
          </w:tcPr>
          <w:p w:rsidR="004E30FF" w:rsidRDefault="00602335">
            <w:r>
              <w:rPr>
                <w:lang w:eastAsia="de-DE"/>
              </w:rPr>
              <w:t>Audited Financial S</w:t>
            </w:r>
            <w:r w:rsidR="004E30FF">
              <w:rPr>
                <w:lang w:eastAsia="de-DE"/>
              </w:rPr>
              <w:t>tatements</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BD</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Bidding documents</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proofErr w:type="spellStart"/>
            <w:r w:rsidRPr="0032518F">
              <w:rPr>
                <w:b/>
                <w:lang w:eastAsia="de-DE"/>
              </w:rPr>
              <w:t>BoQ</w:t>
            </w:r>
            <w:proofErr w:type="spellEnd"/>
          </w:p>
        </w:tc>
        <w:tc>
          <w:tcPr>
            <w:tcW w:w="8149" w:type="dxa"/>
            <w:tcBorders>
              <w:top w:val="single" w:sz="12" w:space="0" w:color="FFFFFF"/>
              <w:bottom w:val="single" w:sz="12" w:space="0" w:color="FFFFFF"/>
            </w:tcBorders>
            <w:shd w:val="clear" w:color="auto" w:fill="9CC2E5"/>
            <w:vAlign w:val="center"/>
          </w:tcPr>
          <w:p w:rsidR="004E30FF" w:rsidRDefault="00602335">
            <w:r>
              <w:rPr>
                <w:lang w:eastAsia="de-DE"/>
              </w:rPr>
              <w:t>Bill of q</w:t>
            </w:r>
            <w:r w:rsidR="004E30FF">
              <w:rPr>
                <w:lang w:eastAsia="de-DE"/>
              </w:rPr>
              <w:t>uantity</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CDP</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Capacity Development Program</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CQ</w:t>
            </w:r>
            <w:r w:rsidR="00602335" w:rsidRPr="0032518F">
              <w:rPr>
                <w:b/>
                <w:lang w:eastAsia="de-DE"/>
              </w:rPr>
              <w:t>S</w:t>
            </w:r>
          </w:p>
        </w:tc>
        <w:tc>
          <w:tcPr>
            <w:tcW w:w="8149" w:type="dxa"/>
            <w:tcBorders>
              <w:top w:val="single" w:sz="12" w:space="0" w:color="FFFFFF"/>
              <w:bottom w:val="single" w:sz="12" w:space="0" w:color="FFFFFF"/>
            </w:tcBorders>
            <w:shd w:val="clear" w:color="auto" w:fill="9CC2E5"/>
            <w:vAlign w:val="center"/>
          </w:tcPr>
          <w:p w:rsidR="004E30FF" w:rsidRDefault="00602335">
            <w:r>
              <w:rPr>
                <w:lang w:eastAsia="de-DE"/>
              </w:rPr>
              <w:t>Consultant Qualification S</w:t>
            </w:r>
            <w:r w:rsidR="004E30FF">
              <w:rPr>
                <w:lang w:eastAsia="de-DE"/>
              </w:rPr>
              <w:t>election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rsidP="00602335">
            <w:pPr>
              <w:rPr>
                <w:b/>
              </w:rPr>
            </w:pPr>
            <w:r w:rsidRPr="0032518F">
              <w:rPr>
                <w:b/>
                <w:lang w:eastAsia="de-DE"/>
              </w:rPr>
              <w:t>EA</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Executing Agency (Tashkent City Administration or S</w:t>
            </w:r>
            <w:r w:rsidR="00602335">
              <w:rPr>
                <w:lang w:eastAsia="de-DE"/>
              </w:rPr>
              <w:t>CEEP)</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EIA</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Environmental </w:t>
            </w:r>
            <w:r w:rsidR="00602335">
              <w:rPr>
                <w:lang w:eastAsia="de-DE"/>
              </w:rPr>
              <w:t>Impact A</w:t>
            </w:r>
            <w:r>
              <w:rPr>
                <w:lang w:eastAsia="de-DE"/>
              </w:rPr>
              <w:t>ssessment</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EMP</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Environmental </w:t>
            </w:r>
            <w:r w:rsidR="00602335">
              <w:rPr>
                <w:lang w:eastAsia="de-DE"/>
              </w:rPr>
              <w:t>Management P</w:t>
            </w:r>
            <w:r>
              <w:rPr>
                <w:lang w:eastAsia="de-DE"/>
              </w:rPr>
              <w:t>lan</w:t>
            </w:r>
          </w:p>
        </w:tc>
      </w:tr>
      <w:tr w:rsidR="0060233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602335" w:rsidRPr="0032518F" w:rsidRDefault="00602335">
            <w:pPr>
              <w:rPr>
                <w:b/>
                <w:lang w:eastAsia="de-DE"/>
              </w:rPr>
            </w:pPr>
            <w:r w:rsidRPr="0032518F">
              <w:rPr>
                <w:b/>
                <w:lang w:eastAsia="de-DE"/>
              </w:rPr>
              <w:t>EMR</w:t>
            </w:r>
          </w:p>
        </w:tc>
        <w:tc>
          <w:tcPr>
            <w:tcW w:w="8149" w:type="dxa"/>
            <w:tcBorders>
              <w:top w:val="single" w:sz="12" w:space="0" w:color="FFFFFF"/>
              <w:bottom w:val="single" w:sz="12" w:space="0" w:color="FFFFFF"/>
            </w:tcBorders>
            <w:shd w:val="clear" w:color="auto" w:fill="9CC2E5"/>
            <w:vAlign w:val="center"/>
          </w:tcPr>
          <w:p w:rsidR="00602335" w:rsidRDefault="00602335" w:rsidP="00602335">
            <w:pPr>
              <w:rPr>
                <w:lang w:eastAsia="de-DE"/>
              </w:rPr>
            </w:pPr>
            <w:r>
              <w:rPr>
                <w:lang w:eastAsia="de-DE"/>
              </w:rPr>
              <w:t xml:space="preserve">Environmental Monitoring Report </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FIDIC</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International Federation of Consulting Engineers</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GAP</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Gender Action Plan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GCC</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General Contract Conditions</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proofErr w:type="spellStart"/>
            <w:r w:rsidRPr="0032518F">
              <w:rPr>
                <w:b/>
                <w:lang w:eastAsia="de-DE"/>
              </w:rPr>
              <w:t>GoU</w:t>
            </w:r>
            <w:proofErr w:type="spellEnd"/>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Government of Uzbekistan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ITB</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Instruction to Bidders</w:t>
            </w:r>
          </w:p>
        </w:tc>
      </w:tr>
      <w:tr w:rsidR="004E30FF">
        <w:trPr>
          <w:trHeight w:val="316"/>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IA</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Implementing Agency (State Unitary Enterprise “Maxsustrans”)</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ICB</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International </w:t>
            </w:r>
            <w:r w:rsidR="00602335">
              <w:rPr>
                <w:lang w:eastAsia="de-DE"/>
              </w:rPr>
              <w:t>Competitive B</w:t>
            </w:r>
            <w:r>
              <w:rPr>
                <w:lang w:eastAsia="de-DE"/>
              </w:rPr>
              <w:t>idding</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IEE</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Initial Environmental Examination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LARP</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Land Acquisition and Resettlement Plan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MSW</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Municipal </w:t>
            </w:r>
            <w:r w:rsidR="00602335">
              <w:rPr>
                <w:lang w:eastAsia="de-DE"/>
              </w:rPr>
              <w:t>Solid W</w:t>
            </w:r>
            <w:r>
              <w:rPr>
                <w:lang w:eastAsia="de-DE"/>
              </w:rPr>
              <w:t>aste</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MOF</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Ministry of Finance</w:t>
            </w:r>
            <w:r w:rsidR="00BF6704">
              <w:rPr>
                <w:lang w:eastAsia="de-DE"/>
              </w:rPr>
              <w:t xml:space="preserve"> of Uzbekistan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NGO</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Non</w:t>
            </w:r>
            <w:r w:rsidR="00602335">
              <w:rPr>
                <w:lang w:eastAsia="de-DE"/>
              </w:rPr>
              <w:t>-Government O</w:t>
            </w:r>
            <w:r>
              <w:rPr>
                <w:lang w:eastAsia="de-DE"/>
              </w:rPr>
              <w:t>rganization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O&amp;M</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Operation and Maintenance</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PAM</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Pro</w:t>
            </w:r>
            <w:r w:rsidR="00602335">
              <w:rPr>
                <w:lang w:eastAsia="de-DE"/>
              </w:rPr>
              <w:t>ject Administration M</w:t>
            </w:r>
            <w:r>
              <w:rPr>
                <w:lang w:eastAsia="de-DE"/>
              </w:rPr>
              <w:t>anual</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PIU</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Project </w:t>
            </w:r>
            <w:r w:rsidR="00602335">
              <w:rPr>
                <w:lang w:eastAsia="de-DE"/>
              </w:rPr>
              <w:t>Implementation U</w:t>
            </w:r>
            <w:r>
              <w:rPr>
                <w:lang w:eastAsia="de-DE"/>
              </w:rPr>
              <w:t>nit</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QCBS</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Quality and cost based selection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RFP</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Request of Proposal</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SCC</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Special Contract Conditions</w:t>
            </w:r>
          </w:p>
        </w:tc>
      </w:tr>
      <w:tr w:rsidR="0060233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602335" w:rsidRPr="0032518F" w:rsidRDefault="00602335">
            <w:pPr>
              <w:rPr>
                <w:b/>
                <w:lang w:eastAsia="de-DE"/>
              </w:rPr>
            </w:pPr>
            <w:r w:rsidRPr="0032518F">
              <w:rPr>
                <w:b/>
                <w:lang w:eastAsia="de-DE"/>
              </w:rPr>
              <w:t>SCEEP</w:t>
            </w:r>
          </w:p>
        </w:tc>
        <w:tc>
          <w:tcPr>
            <w:tcW w:w="8149" w:type="dxa"/>
            <w:tcBorders>
              <w:top w:val="single" w:sz="12" w:space="0" w:color="FFFFFF"/>
              <w:bottom w:val="single" w:sz="12" w:space="0" w:color="FFFFFF"/>
            </w:tcBorders>
            <w:shd w:val="clear" w:color="auto" w:fill="9CC2E5"/>
            <w:vAlign w:val="center"/>
          </w:tcPr>
          <w:p w:rsidR="00602335" w:rsidRDefault="00602335" w:rsidP="00602335">
            <w:pPr>
              <w:rPr>
                <w:lang w:eastAsia="de-DE"/>
              </w:rPr>
            </w:pPr>
            <w:r>
              <w:rPr>
                <w:lang w:eastAsia="de-DE"/>
              </w:rPr>
              <w:t>State Committee of Uzbekistan of Ecology and Environmental Protection</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SPS</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Safeguard </w:t>
            </w:r>
            <w:r w:rsidR="00602335">
              <w:rPr>
                <w:lang w:eastAsia="de-DE"/>
              </w:rPr>
              <w:t>Policy S</w:t>
            </w:r>
            <w:r>
              <w:rPr>
                <w:lang w:eastAsia="de-DE"/>
              </w:rPr>
              <w:t>tatement</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SLF</w:t>
            </w:r>
          </w:p>
        </w:tc>
        <w:tc>
          <w:tcPr>
            <w:tcW w:w="8149" w:type="dxa"/>
            <w:tcBorders>
              <w:top w:val="single" w:sz="12" w:space="0" w:color="FFFFFF"/>
              <w:bottom w:val="single" w:sz="12" w:space="0" w:color="FFFFFF"/>
            </w:tcBorders>
            <w:shd w:val="clear" w:color="auto" w:fill="9CC2E5"/>
            <w:vAlign w:val="center"/>
          </w:tcPr>
          <w:p w:rsidR="004E30FF" w:rsidRDefault="004E30FF" w:rsidP="00602335">
            <w:r>
              <w:rPr>
                <w:lang w:eastAsia="de-DE"/>
              </w:rPr>
              <w:t xml:space="preserve">Sanitary </w:t>
            </w:r>
            <w:r w:rsidR="00602335">
              <w:rPr>
                <w:lang w:eastAsia="de-DE"/>
              </w:rPr>
              <w:t>Landfill F</w:t>
            </w:r>
            <w:r>
              <w:rPr>
                <w:lang w:eastAsia="de-DE"/>
              </w:rPr>
              <w:t>acility</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SUE</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State Unitary Enterprise</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SWMIP</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Solid Waste Management Improvement Project</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TA</w:t>
            </w:r>
          </w:p>
        </w:tc>
        <w:tc>
          <w:tcPr>
            <w:tcW w:w="8149" w:type="dxa"/>
            <w:tcBorders>
              <w:top w:val="single" w:sz="12" w:space="0" w:color="FFFFFF"/>
              <w:bottom w:val="single" w:sz="12" w:space="0" w:color="FFFFFF"/>
            </w:tcBorders>
            <w:shd w:val="clear" w:color="auto" w:fill="9CC2E5"/>
            <w:vAlign w:val="center"/>
          </w:tcPr>
          <w:p w:rsidR="004E30FF" w:rsidRDefault="00862AFC">
            <w:r>
              <w:rPr>
                <w:lang w:eastAsia="de-DE"/>
              </w:rPr>
              <w:t>Technical A</w:t>
            </w:r>
            <w:r w:rsidR="004E30FF">
              <w:rPr>
                <w:lang w:eastAsia="de-DE"/>
              </w:rPr>
              <w:t>ssistance</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proofErr w:type="spellStart"/>
            <w:r w:rsidRPr="0032518F">
              <w:rPr>
                <w:b/>
                <w:lang w:eastAsia="de-DE"/>
              </w:rPr>
              <w:t>ToR</w:t>
            </w:r>
            <w:proofErr w:type="spellEnd"/>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Terms of Reference</w:t>
            </w:r>
          </w:p>
        </w:tc>
      </w:tr>
      <w:tr w:rsidR="005B120C">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5B120C" w:rsidRPr="0032518F" w:rsidRDefault="005B120C">
            <w:pPr>
              <w:rPr>
                <w:b/>
                <w:lang w:eastAsia="de-DE"/>
              </w:rPr>
            </w:pPr>
            <w:r>
              <w:rPr>
                <w:b/>
                <w:lang w:eastAsia="de-DE"/>
              </w:rPr>
              <w:t xml:space="preserve">USD </w:t>
            </w:r>
          </w:p>
        </w:tc>
        <w:tc>
          <w:tcPr>
            <w:tcW w:w="8149" w:type="dxa"/>
            <w:tcBorders>
              <w:top w:val="single" w:sz="12" w:space="0" w:color="FFFFFF"/>
              <w:bottom w:val="single" w:sz="12" w:space="0" w:color="FFFFFF"/>
            </w:tcBorders>
            <w:shd w:val="clear" w:color="auto" w:fill="9CC2E5"/>
            <w:vAlign w:val="center"/>
          </w:tcPr>
          <w:p w:rsidR="005B120C" w:rsidRDefault="005B120C">
            <w:pPr>
              <w:rPr>
                <w:lang w:eastAsia="de-DE"/>
              </w:rPr>
            </w:pPr>
            <w:r>
              <w:rPr>
                <w:lang w:eastAsia="de-DE"/>
              </w:rPr>
              <w:t>United States Dollars ($)</w:t>
            </w:r>
          </w:p>
        </w:tc>
      </w:tr>
      <w:tr w:rsidR="000C4709" w:rsidTr="00FE3BC5">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0C4709" w:rsidRPr="0032518F" w:rsidRDefault="000C4709" w:rsidP="00FE3BC5">
            <w:pPr>
              <w:rPr>
                <w:b/>
              </w:rPr>
            </w:pPr>
            <w:r w:rsidRPr="0032518F">
              <w:rPr>
                <w:b/>
                <w:lang w:eastAsia="de-DE"/>
              </w:rPr>
              <w:t>UZB</w:t>
            </w:r>
          </w:p>
        </w:tc>
        <w:tc>
          <w:tcPr>
            <w:tcW w:w="8149" w:type="dxa"/>
            <w:tcBorders>
              <w:top w:val="single" w:sz="12" w:space="0" w:color="FFFFFF"/>
              <w:bottom w:val="single" w:sz="12" w:space="0" w:color="FFFFFF"/>
            </w:tcBorders>
            <w:shd w:val="clear" w:color="auto" w:fill="9CC2E5"/>
            <w:vAlign w:val="center"/>
          </w:tcPr>
          <w:p w:rsidR="000C4709" w:rsidRDefault="000C4709" w:rsidP="00FE3BC5">
            <w:r>
              <w:rPr>
                <w:lang w:eastAsia="de-DE"/>
              </w:rPr>
              <w:t>Uzbekistan</w:t>
            </w:r>
          </w:p>
        </w:tc>
      </w:tr>
      <w:tr w:rsidR="005B120C">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5B120C" w:rsidRDefault="005B120C">
            <w:pPr>
              <w:rPr>
                <w:b/>
                <w:lang w:eastAsia="de-DE"/>
              </w:rPr>
            </w:pPr>
            <w:r>
              <w:rPr>
                <w:b/>
                <w:lang w:eastAsia="de-DE"/>
              </w:rPr>
              <w:t>UZS</w:t>
            </w:r>
          </w:p>
        </w:tc>
        <w:tc>
          <w:tcPr>
            <w:tcW w:w="8149" w:type="dxa"/>
            <w:tcBorders>
              <w:top w:val="single" w:sz="12" w:space="0" w:color="FFFFFF"/>
              <w:bottom w:val="single" w:sz="12" w:space="0" w:color="FFFFFF"/>
            </w:tcBorders>
            <w:shd w:val="clear" w:color="auto" w:fill="9CC2E5"/>
            <w:vAlign w:val="center"/>
          </w:tcPr>
          <w:p w:rsidR="005B120C" w:rsidRDefault="005B120C">
            <w:pPr>
              <w:rPr>
                <w:lang w:eastAsia="de-DE"/>
              </w:rPr>
            </w:pPr>
            <w:r>
              <w:rPr>
                <w:lang w:eastAsia="de-DE"/>
              </w:rPr>
              <w:t xml:space="preserve">Uzbek Sums </w:t>
            </w:r>
          </w:p>
        </w:tc>
      </w:tr>
      <w:tr w:rsidR="004E30FF">
        <w:trPr>
          <w:trHeight w:val="284"/>
        </w:trPr>
        <w:tc>
          <w:tcPr>
            <w:tcW w:w="1221" w:type="dxa"/>
            <w:tcBorders>
              <w:top w:val="single" w:sz="12" w:space="0" w:color="FFFFFF"/>
              <w:left w:val="single" w:sz="12" w:space="0" w:color="FFFFFF"/>
              <w:bottom w:val="single" w:sz="12" w:space="0" w:color="FFFFFF"/>
              <w:right w:val="single" w:sz="12" w:space="0" w:color="FFFFFF"/>
            </w:tcBorders>
            <w:shd w:val="clear" w:color="auto" w:fill="0066FF"/>
            <w:vAlign w:val="center"/>
          </w:tcPr>
          <w:p w:rsidR="004E30FF" w:rsidRPr="0032518F" w:rsidRDefault="004E30FF">
            <w:pPr>
              <w:rPr>
                <w:b/>
              </w:rPr>
            </w:pPr>
            <w:r w:rsidRPr="0032518F">
              <w:rPr>
                <w:b/>
                <w:lang w:eastAsia="de-DE"/>
              </w:rPr>
              <w:t>WA</w:t>
            </w:r>
          </w:p>
        </w:tc>
        <w:tc>
          <w:tcPr>
            <w:tcW w:w="8149" w:type="dxa"/>
            <w:tcBorders>
              <w:top w:val="single" w:sz="12" w:space="0" w:color="FFFFFF"/>
              <w:bottom w:val="single" w:sz="12" w:space="0" w:color="FFFFFF"/>
            </w:tcBorders>
            <w:shd w:val="clear" w:color="auto" w:fill="9CC2E5"/>
            <w:vAlign w:val="center"/>
          </w:tcPr>
          <w:p w:rsidR="004E30FF" w:rsidRDefault="004E30FF">
            <w:r>
              <w:rPr>
                <w:lang w:eastAsia="de-DE"/>
              </w:rPr>
              <w:t>Withdrawal Application</w:t>
            </w:r>
          </w:p>
        </w:tc>
      </w:tr>
    </w:tbl>
    <w:p w:rsidR="004E30FF" w:rsidRDefault="004E30FF"/>
    <w:p w:rsidR="004E30FF" w:rsidRDefault="004E30FF"/>
    <w:p w:rsidR="004E30FF" w:rsidRDefault="004E30FF">
      <w:pPr>
        <w:pStyle w:val="1"/>
        <w:pageBreakBefore/>
        <w:numPr>
          <w:ilvl w:val="0"/>
          <w:numId w:val="5"/>
        </w:numPr>
      </w:pPr>
      <w:bookmarkStart w:id="2" w:name="_Toc471348464"/>
      <w:bookmarkStart w:id="3" w:name="_Toc64301495"/>
      <w:bookmarkStart w:id="4" w:name="_Hlk497230711"/>
      <w:r>
        <w:lastRenderedPageBreak/>
        <w:t>EXECUTIVE SUMMARY</w:t>
      </w:r>
      <w:bookmarkEnd w:id="2"/>
      <w:bookmarkEnd w:id="3"/>
    </w:p>
    <w:p w:rsidR="004E30FF" w:rsidRDefault="004E30FF"/>
    <w:p w:rsidR="004E30FF" w:rsidRDefault="004E30FF">
      <w:r>
        <w:t xml:space="preserve">This </w:t>
      </w:r>
      <w:r w:rsidR="000C4709" w:rsidRPr="000C4709">
        <w:t>Annual Progress Report No. 4</w:t>
      </w:r>
      <w:r w:rsidR="000C4709">
        <w:t xml:space="preserve"> was prepared by the PIU Support Consultants. </w:t>
      </w:r>
      <w:r>
        <w:t xml:space="preserve">This report outlines the achievements </w:t>
      </w:r>
      <w:r w:rsidR="000E4C23">
        <w:t xml:space="preserve">in terms of project </w:t>
      </w:r>
      <w:r w:rsidR="000C4709">
        <w:t>management, procurement</w:t>
      </w:r>
      <w:r w:rsidR="000E4C23">
        <w:t xml:space="preserve">, contract administration </w:t>
      </w:r>
      <w:r>
        <w:t xml:space="preserve">and all other corresponding activities of the </w:t>
      </w:r>
      <w:r w:rsidR="000E4C23" w:rsidRPr="000E4C23">
        <w:t xml:space="preserve">Solid Waste Management Improvement Project </w:t>
      </w:r>
      <w:r>
        <w:rPr>
          <w:b/>
        </w:rPr>
        <w:t>between 1</w:t>
      </w:r>
      <w:r w:rsidR="00E331DF" w:rsidRPr="00E331DF">
        <w:rPr>
          <w:b/>
          <w:vertAlign w:val="superscript"/>
        </w:rPr>
        <w:t>st</w:t>
      </w:r>
      <w:r w:rsidR="00E331DF">
        <w:rPr>
          <w:b/>
        </w:rPr>
        <w:t xml:space="preserve"> </w:t>
      </w:r>
      <w:r>
        <w:rPr>
          <w:b/>
        </w:rPr>
        <w:t xml:space="preserve">of </w:t>
      </w:r>
      <w:r w:rsidR="00F07CA0">
        <w:rPr>
          <w:b/>
        </w:rPr>
        <w:t>J</w:t>
      </w:r>
      <w:r w:rsidR="000C4709">
        <w:rPr>
          <w:b/>
        </w:rPr>
        <w:t>anuary</w:t>
      </w:r>
      <w:r>
        <w:rPr>
          <w:b/>
        </w:rPr>
        <w:t xml:space="preserve"> until and 3</w:t>
      </w:r>
      <w:r w:rsidR="000C4709">
        <w:rPr>
          <w:b/>
        </w:rPr>
        <w:t>1</w:t>
      </w:r>
      <w:r w:rsidR="000C4709" w:rsidRPr="000C4709">
        <w:rPr>
          <w:b/>
          <w:vertAlign w:val="superscript"/>
        </w:rPr>
        <w:t>st</w:t>
      </w:r>
      <w:r w:rsidR="000C4709">
        <w:rPr>
          <w:b/>
        </w:rPr>
        <w:t xml:space="preserve"> </w:t>
      </w:r>
      <w:r w:rsidR="00F07CA0">
        <w:rPr>
          <w:b/>
        </w:rPr>
        <w:t xml:space="preserve">of </w:t>
      </w:r>
      <w:r w:rsidR="000C4709">
        <w:rPr>
          <w:b/>
        </w:rPr>
        <w:t>December 2020</w:t>
      </w:r>
      <w:r>
        <w:t xml:space="preserve">. </w:t>
      </w:r>
    </w:p>
    <w:p w:rsidR="004E30FF" w:rsidRDefault="004E30FF">
      <w:pPr>
        <w:rPr>
          <w:sz w:val="12"/>
          <w:szCs w:val="12"/>
        </w:rPr>
      </w:pPr>
    </w:p>
    <w:p w:rsidR="000C4709" w:rsidRDefault="004E30FF" w:rsidP="000C4709">
      <w:r>
        <w:t xml:space="preserve">The report structure is similar to the already submitted reporting format developed for the Client and PIU and submitted to the ADB as before and we will continue in this form. This report covers the comprehensive progress made in </w:t>
      </w:r>
      <w:r w:rsidR="000E4C23">
        <w:t xml:space="preserve">project </w:t>
      </w:r>
      <w:r>
        <w:t>management, procurement activities and all others of the S</w:t>
      </w:r>
      <w:r w:rsidR="000E4C23">
        <w:t>WMIP</w:t>
      </w:r>
      <w:r>
        <w:t xml:space="preserve"> </w:t>
      </w:r>
      <w:r w:rsidR="000C4709">
        <w:t xml:space="preserve">within the year 2020. In addition to this Annual Report, the Consultant has submitted the Semi-Annual Environmental Monitoring Report and </w:t>
      </w:r>
      <w:r w:rsidR="000C4709" w:rsidRPr="000C4709">
        <w:t xml:space="preserve">Semi-Annual Social Safeguard Monitoring Report </w:t>
      </w:r>
      <w:r w:rsidR="000C4709">
        <w:t xml:space="preserve">for the period </w:t>
      </w:r>
      <w:r w:rsidR="000C4709" w:rsidRPr="000C4709">
        <w:rPr>
          <w:b/>
        </w:rPr>
        <w:t>July – December 2020</w:t>
      </w:r>
      <w:r w:rsidR="000C4709">
        <w:t xml:space="preserve">. </w:t>
      </w:r>
    </w:p>
    <w:p w:rsidR="000C4709" w:rsidRDefault="000C4709"/>
    <w:p w:rsidR="004E30FF" w:rsidRDefault="004E30FF">
      <w:r>
        <w:t xml:space="preserve">Some key activities and achievements during the reporting </w:t>
      </w:r>
      <w:r w:rsidR="000C4709">
        <w:t xml:space="preserve">annual </w:t>
      </w:r>
      <w:r>
        <w:t>period are summarized below:</w:t>
      </w:r>
    </w:p>
    <w:p w:rsidR="000C4709" w:rsidRDefault="00AA3207" w:rsidP="00AA39F6">
      <w:pPr>
        <w:pStyle w:val="ListParagraph1"/>
        <w:numPr>
          <w:ilvl w:val="0"/>
          <w:numId w:val="3"/>
        </w:numPr>
      </w:pPr>
      <w:r>
        <w:rPr>
          <w:b/>
        </w:rPr>
        <w:t xml:space="preserve">Replacement of </w:t>
      </w:r>
      <w:r w:rsidR="000C4709" w:rsidRPr="000C4709">
        <w:rPr>
          <w:b/>
        </w:rPr>
        <w:t xml:space="preserve">PIU </w:t>
      </w:r>
      <w:r>
        <w:rPr>
          <w:b/>
        </w:rPr>
        <w:t>management</w:t>
      </w:r>
      <w:r w:rsidR="000C4709">
        <w:t>: Since 1</w:t>
      </w:r>
      <w:r w:rsidR="000C4709" w:rsidRPr="000C4709">
        <w:rPr>
          <w:vertAlign w:val="superscript"/>
        </w:rPr>
        <w:t>st</w:t>
      </w:r>
      <w:r w:rsidR="000C4709">
        <w:t xml:space="preserve"> of July 2020 </w:t>
      </w:r>
      <w:r w:rsidR="007673B6">
        <w:t xml:space="preserve">the PIU is managed by head Mr. </w:t>
      </w:r>
      <w:proofErr w:type="spellStart"/>
      <w:r w:rsidR="007673B6">
        <w:t>Jasur</w:t>
      </w:r>
      <w:proofErr w:type="spellEnd"/>
      <w:r w:rsidR="007673B6">
        <w:t xml:space="preserve"> </w:t>
      </w:r>
      <w:proofErr w:type="spellStart"/>
      <w:r w:rsidR="007673B6">
        <w:t>Hamidov</w:t>
      </w:r>
      <w:proofErr w:type="spellEnd"/>
      <w:r w:rsidR="007673B6">
        <w:t xml:space="preserve"> and his deputy Mr. </w:t>
      </w:r>
      <w:proofErr w:type="spellStart"/>
      <w:r w:rsidR="007673B6">
        <w:t>Farkhod</w:t>
      </w:r>
      <w:proofErr w:type="spellEnd"/>
      <w:r w:rsidR="007673B6">
        <w:t xml:space="preserve"> </w:t>
      </w:r>
      <w:proofErr w:type="spellStart"/>
      <w:r w:rsidR="007673B6">
        <w:t>Hamdamov</w:t>
      </w:r>
      <w:proofErr w:type="spellEnd"/>
      <w:r w:rsidR="007673B6">
        <w:t xml:space="preserve">. The previous management of PIU was represented by Mr. </w:t>
      </w:r>
      <w:proofErr w:type="spellStart"/>
      <w:r w:rsidR="007673B6">
        <w:t>Rustam</w:t>
      </w:r>
      <w:proofErr w:type="spellEnd"/>
      <w:r w:rsidR="007673B6">
        <w:t xml:space="preserve"> </w:t>
      </w:r>
      <w:proofErr w:type="spellStart"/>
      <w:r w:rsidR="007673B6">
        <w:t>Shukurov</w:t>
      </w:r>
      <w:proofErr w:type="spellEnd"/>
      <w:r w:rsidR="007673B6">
        <w:t xml:space="preserve"> and by its deputy Mr. </w:t>
      </w:r>
      <w:proofErr w:type="spellStart"/>
      <w:r w:rsidR="007673B6">
        <w:t>Muzaffar</w:t>
      </w:r>
      <w:proofErr w:type="spellEnd"/>
      <w:r w:rsidR="007673B6">
        <w:t xml:space="preserve"> </w:t>
      </w:r>
      <w:proofErr w:type="spellStart"/>
      <w:r w:rsidR="007673B6">
        <w:t>Maksudov</w:t>
      </w:r>
      <w:proofErr w:type="spellEnd"/>
      <w:r w:rsidR="007673B6">
        <w:t>.</w:t>
      </w:r>
      <w:r w:rsidR="00CF7421">
        <w:t xml:space="preserve"> PIU accountant Ms. </w:t>
      </w:r>
      <w:proofErr w:type="spellStart"/>
      <w:r w:rsidR="00CF7421">
        <w:t>Lutsia</w:t>
      </w:r>
      <w:proofErr w:type="spellEnd"/>
      <w:r w:rsidR="00CF7421">
        <w:t xml:space="preserve"> </w:t>
      </w:r>
      <w:proofErr w:type="spellStart"/>
      <w:r w:rsidR="00CF7421">
        <w:t>Badalbaeva</w:t>
      </w:r>
      <w:proofErr w:type="spellEnd"/>
      <w:r w:rsidR="00CF7421">
        <w:t xml:space="preserve"> is still working. </w:t>
      </w:r>
    </w:p>
    <w:p w:rsidR="00057C3B" w:rsidRDefault="00AA3207" w:rsidP="00AA39F6">
      <w:pPr>
        <w:pStyle w:val="ListParagraph1"/>
        <w:numPr>
          <w:ilvl w:val="0"/>
          <w:numId w:val="3"/>
        </w:numPr>
      </w:pPr>
      <w:r w:rsidRPr="00AA3207">
        <w:rPr>
          <w:b/>
        </w:rPr>
        <w:t>COVID-19 pandemic</w:t>
      </w:r>
      <w:r>
        <w:t xml:space="preserve">: </w:t>
      </w:r>
      <w:r w:rsidR="00E73581">
        <w:t xml:space="preserve">Since March 2020 the Government of Uzbekistan taking measures against COVID-19 in the country. </w:t>
      </w:r>
      <w:r w:rsidR="00E91DA3">
        <w:t xml:space="preserve">In the first half </w:t>
      </w:r>
      <w:r w:rsidR="00057C3B">
        <w:t xml:space="preserve">of </w:t>
      </w:r>
      <w:r w:rsidR="00E91DA3">
        <w:t xml:space="preserve">2020 </w:t>
      </w:r>
      <w:r w:rsidR="00057C3B">
        <w:t>t</w:t>
      </w:r>
      <w:r w:rsidR="00E91DA3">
        <w:t xml:space="preserve">he most of personal </w:t>
      </w:r>
      <w:r w:rsidR="00057C3B">
        <w:t xml:space="preserve">of the Consultant, PIU and the Client </w:t>
      </w:r>
      <w:r w:rsidR="00E91DA3">
        <w:t xml:space="preserve">should work </w:t>
      </w:r>
      <w:r w:rsidR="00057C3B">
        <w:t>on the remote basis, but since July the most experts could work in office with limited days on online basis. Due to restrictions for international flights to and from Uzbekistan the international experts of PIU Consultant and other companies could not work in Uzbekistan.</w:t>
      </w:r>
    </w:p>
    <w:p w:rsidR="007673B6" w:rsidRDefault="00057C3B" w:rsidP="00AA39F6">
      <w:pPr>
        <w:pStyle w:val="ListParagraph1"/>
        <w:numPr>
          <w:ilvl w:val="0"/>
          <w:numId w:val="3"/>
        </w:numPr>
      </w:pPr>
      <w:r w:rsidRPr="00057C3B">
        <w:rPr>
          <w:b/>
        </w:rPr>
        <w:t>Team Leader of the Consultant</w:t>
      </w:r>
      <w:r>
        <w:t xml:space="preserve"> Mr. Ingo </w:t>
      </w:r>
      <w:proofErr w:type="spellStart"/>
      <w:r>
        <w:t>Schoebe</w:t>
      </w:r>
      <w:proofErr w:type="spellEnd"/>
      <w:r>
        <w:t xml:space="preserve"> has left Uzbekistan on 29</w:t>
      </w:r>
      <w:r w:rsidRPr="00057C3B">
        <w:rPr>
          <w:vertAlign w:val="superscript"/>
        </w:rPr>
        <w:t>th</w:t>
      </w:r>
      <w:r>
        <w:t xml:space="preserve"> of February 2020 and since March 2020 he working and helping to implement the project from home office. </w:t>
      </w:r>
    </w:p>
    <w:p w:rsidR="00057C3B" w:rsidRDefault="00057C3B" w:rsidP="005500F8">
      <w:pPr>
        <w:pStyle w:val="ListParagraph1"/>
        <w:numPr>
          <w:ilvl w:val="0"/>
          <w:numId w:val="3"/>
        </w:numPr>
      </w:pPr>
      <w:r w:rsidRPr="00057C3B">
        <w:rPr>
          <w:b/>
        </w:rPr>
        <w:t>Bankruptcy of H.P. GAUFF INGENIEURE GMBH &amp; CO. KG-JBG</w:t>
      </w:r>
      <w:r>
        <w:t xml:space="preserve">: </w:t>
      </w:r>
      <w:r w:rsidR="00FE3BC5">
        <w:t xml:space="preserve">In April 2020 the Company has applied for the opening of insolvency proceedings in self-administration under so-called “protective shield proceedings” according to German Law. Nuremberg Local Court </w:t>
      </w:r>
      <w:r w:rsidR="005500F8">
        <w:t xml:space="preserve">has accepted this application and confirmed initiating of insolvency proceedings on 1 July 2020. On 17. September 2020 the new management of the Company appointed by the Court has informed SUE “Maxsustrans” about non-entry in the Contract Agreement No. </w:t>
      </w:r>
      <w:r w:rsidR="005500F8" w:rsidRPr="005500F8">
        <w:t>SUE/Maxsustrans/QCBS-Cons_1-2016-01</w:t>
      </w:r>
      <w:r w:rsidR="005500F8">
        <w:t xml:space="preserve">. </w:t>
      </w:r>
    </w:p>
    <w:p w:rsidR="005500F8" w:rsidRDefault="005500F8" w:rsidP="005500F8">
      <w:pPr>
        <w:pStyle w:val="ListParagraph1"/>
        <w:numPr>
          <w:ilvl w:val="0"/>
          <w:numId w:val="3"/>
        </w:numPr>
      </w:pPr>
      <w:r>
        <w:rPr>
          <w:b/>
        </w:rPr>
        <w:t xml:space="preserve">Contract </w:t>
      </w:r>
      <w:r w:rsidR="00F675F0">
        <w:rPr>
          <w:b/>
        </w:rPr>
        <w:t xml:space="preserve">C1: </w:t>
      </w:r>
      <w:r>
        <w:rPr>
          <w:b/>
        </w:rPr>
        <w:t>PIU Consultant</w:t>
      </w:r>
      <w:r w:rsidR="00F675F0">
        <w:rPr>
          <w:b/>
        </w:rPr>
        <w:t>s</w:t>
      </w:r>
      <w:r w:rsidRPr="005500F8">
        <w:t>:</w:t>
      </w:r>
      <w:r>
        <w:t xml:space="preserve"> After non-entry in the Contract by H.P. </w:t>
      </w:r>
      <w:proofErr w:type="spellStart"/>
      <w:r>
        <w:t>Gauff</w:t>
      </w:r>
      <w:proofErr w:type="spellEnd"/>
      <w:r>
        <w:t xml:space="preserve"> the Client (SUE Maxsustrans) has negotiated with local JV partner of the PIU Consultant – </w:t>
      </w:r>
      <w:proofErr w:type="spellStart"/>
      <w:r>
        <w:t>Infratech</w:t>
      </w:r>
      <w:proofErr w:type="spellEnd"/>
      <w:r>
        <w:t xml:space="preserve"> Consulting SDN Ltd. from Tashkent to continue the consulting services until 30 June 2021 – ADB’s Loan Closing Date. On 9 December 2020 the Amendment No. 5 to the Contract of PIU Consultant has been signed and all further services </w:t>
      </w:r>
      <w:r w:rsidR="00DC0BAC">
        <w:t xml:space="preserve">to be </w:t>
      </w:r>
      <w:r>
        <w:t xml:space="preserve">performed by leadership of Deputy Team Leader – Mr. </w:t>
      </w:r>
      <w:proofErr w:type="spellStart"/>
      <w:r>
        <w:t>Dilshod</w:t>
      </w:r>
      <w:proofErr w:type="spellEnd"/>
      <w:r>
        <w:t xml:space="preserve"> </w:t>
      </w:r>
      <w:proofErr w:type="spellStart"/>
      <w:r>
        <w:t>Mavlyan-Kariev</w:t>
      </w:r>
      <w:proofErr w:type="spellEnd"/>
      <w:r>
        <w:t>.</w:t>
      </w:r>
      <w:r w:rsidR="00D216BC">
        <w:t xml:space="preserve"> Team Leader Mr. Ingo </w:t>
      </w:r>
      <w:proofErr w:type="spellStart"/>
      <w:r w:rsidR="00D216BC">
        <w:t>Schoebe</w:t>
      </w:r>
      <w:proofErr w:type="spellEnd"/>
      <w:r w:rsidR="00D216BC">
        <w:t xml:space="preserve"> has departed to home on 29 February 2020 for vacation, but due to COVID-19 pandemic restrictions could not come back to Uzbekistan for provision of services in the field. Since March 2020 he worked mainly from home office and supported the project team with technical issues, progress reporting and bid evaluation.</w:t>
      </w:r>
    </w:p>
    <w:p w:rsidR="00B64D9D" w:rsidRDefault="00DC0BAC" w:rsidP="00DC0BAC">
      <w:pPr>
        <w:pStyle w:val="ListParagraph1"/>
        <w:numPr>
          <w:ilvl w:val="0"/>
          <w:numId w:val="3"/>
        </w:numPr>
      </w:pPr>
      <w:r>
        <w:rPr>
          <w:b/>
        </w:rPr>
        <w:t>Procurement packages</w:t>
      </w:r>
      <w:r w:rsidR="00B64D9D">
        <w:rPr>
          <w:b/>
        </w:rPr>
        <w:t xml:space="preserve"> (awarded)</w:t>
      </w:r>
      <w:r>
        <w:rPr>
          <w:b/>
        </w:rPr>
        <w:t xml:space="preserve">: </w:t>
      </w:r>
      <w:r>
        <w:t xml:space="preserve">Within the reporting period the Client could award and sign the contract under package G1 - Supply of </w:t>
      </w:r>
      <w:r w:rsidRPr="00DC0BAC">
        <w:t>Landfill equipment and machinery</w:t>
      </w:r>
      <w:r>
        <w:t xml:space="preserve"> (two lots only); </w:t>
      </w:r>
      <w:r>
        <w:lastRenderedPageBreak/>
        <w:t xml:space="preserve">package G6 – Supply of </w:t>
      </w:r>
      <w:r w:rsidRPr="00DC0BAC">
        <w:t>Waste Collection Trucks (</w:t>
      </w:r>
      <w:r>
        <w:t xml:space="preserve">59 pcs); and package </w:t>
      </w:r>
      <w:r w:rsidRPr="00DC0BAC">
        <w:t>CW4: Garage rehabilitation</w:t>
      </w:r>
      <w:r>
        <w:t xml:space="preserve"> for the total amount of $8,7 million. Contract G6 is already completed and other two contracts G1 and CW4 are ongoing. </w:t>
      </w:r>
    </w:p>
    <w:p w:rsidR="005500F8" w:rsidRDefault="00B64D9D" w:rsidP="00DC0BAC">
      <w:pPr>
        <w:pStyle w:val="ListParagraph1"/>
        <w:numPr>
          <w:ilvl w:val="0"/>
          <w:numId w:val="3"/>
        </w:numPr>
      </w:pPr>
      <w:r w:rsidRPr="00585B1E">
        <w:rPr>
          <w:b/>
        </w:rPr>
        <w:t>Procurement packages (delayed</w:t>
      </w:r>
      <w:r w:rsidR="00585B1E" w:rsidRPr="00585B1E">
        <w:rPr>
          <w:b/>
        </w:rPr>
        <w:t xml:space="preserve"> contract awards</w:t>
      </w:r>
      <w:r w:rsidRPr="00585B1E">
        <w:rPr>
          <w:b/>
        </w:rPr>
        <w:t xml:space="preserve">): </w:t>
      </w:r>
      <w:r>
        <w:t xml:space="preserve">Selection of Contractor under package </w:t>
      </w:r>
      <w:r w:rsidRPr="00B64D9D">
        <w:t>CW1: Sanitary landfill establishment and dumpsite closure</w:t>
      </w:r>
      <w:r>
        <w:t xml:space="preserve"> is still pending due to missing final decision about contract award or re-bidding </w:t>
      </w:r>
      <w:r w:rsidR="00585B1E">
        <w:t xml:space="preserve">of the package </w:t>
      </w:r>
      <w:r>
        <w:t xml:space="preserve">between the City’s Tender Commission and ADB. Meanwhile, validity of bids and bid securities </w:t>
      </w:r>
      <w:r w:rsidR="00585B1E">
        <w:t xml:space="preserve">have expired on 30 September 2020 and there are no valid bids; </w:t>
      </w:r>
      <w:r w:rsidR="00A7256B">
        <w:t xml:space="preserve">Selection </w:t>
      </w:r>
      <w:r w:rsidR="00F7439B">
        <w:t xml:space="preserve">of Contractor </w:t>
      </w:r>
      <w:r w:rsidR="00A7256B">
        <w:t xml:space="preserve">under package CW2: Transfer Station Rehabilitation was initiated </w:t>
      </w:r>
      <w:r w:rsidR="00585B1E">
        <w:t xml:space="preserve">in </w:t>
      </w:r>
      <w:proofErr w:type="gramStart"/>
      <w:r w:rsidR="00585B1E">
        <w:t>2020</w:t>
      </w:r>
      <w:r w:rsidR="00A7256B">
        <w:t>,</w:t>
      </w:r>
      <w:proofErr w:type="gramEnd"/>
      <w:r w:rsidR="00A7256B">
        <w:t xml:space="preserve"> unfortunately the bid evaluation could be not finished within 120 days after the bid opening on 3 August 2020. </w:t>
      </w:r>
      <w:r w:rsidR="00585B1E">
        <w:t>The contract award is expected in the beginning of 2021.</w:t>
      </w:r>
    </w:p>
    <w:p w:rsidR="00F675F0" w:rsidRDefault="00DC0BAC" w:rsidP="00F675F0">
      <w:pPr>
        <w:pStyle w:val="ListParagraph1"/>
        <w:numPr>
          <w:ilvl w:val="0"/>
          <w:numId w:val="3"/>
        </w:numPr>
      </w:pPr>
      <w:r w:rsidRPr="00F675F0">
        <w:rPr>
          <w:b/>
        </w:rPr>
        <w:t xml:space="preserve">Contract </w:t>
      </w:r>
      <w:r w:rsidR="004E30FF" w:rsidRPr="00F675F0">
        <w:rPr>
          <w:b/>
        </w:rPr>
        <w:t>C2: Sanitary Landfill Design and Supervision Consultant</w:t>
      </w:r>
      <w:r w:rsidR="00F675F0">
        <w:rPr>
          <w:b/>
        </w:rPr>
        <w:t>s</w:t>
      </w:r>
      <w:r w:rsidR="004E30FF">
        <w:t xml:space="preserve"> – </w:t>
      </w:r>
      <w:r w:rsidR="00F675F0">
        <w:t xml:space="preserve">After completion of the design phase in October 2019, the further Services for Works Supervision are pending due to delay with selection of Contractor under package CW1: </w:t>
      </w:r>
      <w:r w:rsidR="00F675F0" w:rsidRPr="00F675F0">
        <w:t>Sanitary landfill establishment and dumpsite closure</w:t>
      </w:r>
      <w:r w:rsidR="00F675F0">
        <w:t xml:space="preserve">. The Consultant is in a stand-by situation and waiting for commencement of civil works under CW1. </w:t>
      </w:r>
    </w:p>
    <w:p w:rsidR="00F675F0" w:rsidRDefault="00F675F0" w:rsidP="00CE4A93">
      <w:pPr>
        <w:pStyle w:val="ListParagraph1"/>
        <w:numPr>
          <w:ilvl w:val="0"/>
          <w:numId w:val="3"/>
        </w:numPr>
      </w:pPr>
      <w:r w:rsidRPr="00F675F0">
        <w:rPr>
          <w:b/>
        </w:rPr>
        <w:t>Contract C3: Capacity Development Program Consultants</w:t>
      </w:r>
      <w:r>
        <w:t xml:space="preserve"> </w:t>
      </w:r>
      <w:r w:rsidR="002F3C38">
        <w:t>–</w:t>
      </w:r>
      <w:r>
        <w:t xml:space="preserve"> </w:t>
      </w:r>
      <w:r w:rsidR="002F3C38">
        <w:t>The Consultant has completed its services by December of 2019 and in the first quarter of 2020 they provided the final report and invoice which have been approved by Maxsustrans and paid in August 2020. The contract was c</w:t>
      </w:r>
      <w:r w:rsidR="00CE4A93">
        <w:t xml:space="preserve">ompleted </w:t>
      </w:r>
      <w:r w:rsidR="002F3C38">
        <w:t xml:space="preserve">by </w:t>
      </w:r>
      <w:r w:rsidR="00CE4A93">
        <w:t>the final total price of $1,216,134.</w:t>
      </w:r>
      <w:r w:rsidR="00CE4A93" w:rsidRPr="00CE4A93">
        <w:t>55</w:t>
      </w:r>
      <w:r w:rsidR="00CE4A93">
        <w:t xml:space="preserve"> due to coordination and optimization of the expert input by the Client. The unused amount of $</w:t>
      </w:r>
      <w:r w:rsidR="00CE4A93" w:rsidRPr="00CE4A93">
        <w:t>1</w:t>
      </w:r>
      <w:r w:rsidR="00CE4A93">
        <w:t xml:space="preserve">61,465.45. </w:t>
      </w:r>
    </w:p>
    <w:p w:rsidR="004C47BC" w:rsidRDefault="004C47BC" w:rsidP="00CE4A93">
      <w:pPr>
        <w:pStyle w:val="ListParagraph1"/>
        <w:numPr>
          <w:ilvl w:val="0"/>
          <w:numId w:val="3"/>
        </w:numPr>
      </w:pPr>
      <w:r>
        <w:rPr>
          <w:b/>
        </w:rPr>
        <w:t>Project Disbursements</w:t>
      </w:r>
      <w:r w:rsidRPr="004C47BC">
        <w:t>:</w:t>
      </w:r>
      <w:r>
        <w:t xml:space="preserve"> In 2020 the total disbursement</w:t>
      </w:r>
      <w:r w:rsidR="008E3A4B">
        <w:t>s</w:t>
      </w:r>
      <w:r>
        <w:t xml:space="preserve"> reached $5.54 million including PIU costs and ADB’s commitment fees and interests paid from </w:t>
      </w:r>
      <w:r w:rsidR="008E3A4B">
        <w:t xml:space="preserve">ADB </w:t>
      </w:r>
      <w:r>
        <w:t xml:space="preserve">Loan </w:t>
      </w:r>
      <w:r w:rsidR="008E3A4B">
        <w:t xml:space="preserve">proceeds </w:t>
      </w:r>
      <w:r w:rsidR="00C3155A">
        <w:t xml:space="preserve">during the </w:t>
      </w:r>
      <w:r w:rsidR="008E3A4B">
        <w:t>Project implementation</w:t>
      </w:r>
      <w:r>
        <w:t xml:space="preserve">. </w:t>
      </w:r>
      <w:r w:rsidR="00685F2E">
        <w:t>According to PIU data t</w:t>
      </w:r>
      <w:r>
        <w:t xml:space="preserve">he </w:t>
      </w:r>
      <w:r w:rsidR="00685F2E">
        <w:t xml:space="preserve">cumulative amount of </w:t>
      </w:r>
      <w:r>
        <w:t>disbursement</w:t>
      </w:r>
      <w:r w:rsidR="00685F2E">
        <w:t>s</w:t>
      </w:r>
      <w:r>
        <w:t xml:space="preserve"> </w:t>
      </w:r>
      <w:r w:rsidR="00685F2E">
        <w:t>since t</w:t>
      </w:r>
      <w:r>
        <w:t xml:space="preserve">he Project beginning </w:t>
      </w:r>
      <w:r w:rsidRPr="00006A80">
        <w:t>was $3</w:t>
      </w:r>
      <w:r w:rsidR="00685F2E" w:rsidRPr="00006A80">
        <w:t>5</w:t>
      </w:r>
      <w:r w:rsidRPr="00006A80">
        <w:t>.</w:t>
      </w:r>
      <w:r w:rsidR="00685F2E" w:rsidRPr="00006A80">
        <w:t>58</w:t>
      </w:r>
      <w:r w:rsidRPr="00006A80">
        <w:t xml:space="preserve"> million </w:t>
      </w:r>
      <w:r w:rsidR="00685F2E" w:rsidRPr="00006A80">
        <w:t>(</w:t>
      </w:r>
      <w:r w:rsidR="00685F2E">
        <w:t xml:space="preserve">51.56%) </w:t>
      </w:r>
      <w:r>
        <w:t xml:space="preserve">as per 31.12.2020. </w:t>
      </w:r>
    </w:p>
    <w:p w:rsidR="00F675F0" w:rsidRDefault="002E5E3E" w:rsidP="00DD539A">
      <w:pPr>
        <w:pStyle w:val="ListParagraph1"/>
        <w:numPr>
          <w:ilvl w:val="0"/>
          <w:numId w:val="3"/>
        </w:numPr>
      </w:pPr>
      <w:r>
        <w:rPr>
          <w:b/>
          <w:lang w:val="uz-Latn-UZ"/>
        </w:rPr>
        <w:t xml:space="preserve">Monitoring of </w:t>
      </w:r>
      <w:r w:rsidR="00685F2E">
        <w:rPr>
          <w:b/>
        </w:rPr>
        <w:t>Safeguard compliance</w:t>
      </w:r>
      <w:r w:rsidR="001717A4" w:rsidRPr="001717A4">
        <w:rPr>
          <w:b/>
        </w:rPr>
        <w:t>s</w:t>
      </w:r>
      <w:r w:rsidR="001717A4">
        <w:t xml:space="preserve">: </w:t>
      </w:r>
      <w:r w:rsidR="00DD539A" w:rsidRPr="00DD539A">
        <w:t xml:space="preserve">The project is categorized as “B” for both resettlement and environment as per </w:t>
      </w:r>
      <w:r w:rsidR="00DD539A">
        <w:t>ADB’s Safeguard Policy Statement</w:t>
      </w:r>
      <w:r w:rsidR="00DD539A" w:rsidRPr="00DD539A">
        <w:t xml:space="preserve"> 2009</w:t>
      </w:r>
      <w:r w:rsidR="00DD539A">
        <w:t xml:space="preserve">. </w:t>
      </w:r>
      <w:r w:rsidR="001A6DFD">
        <w:t xml:space="preserve">This monitoring has been mainly provided by the national specialists of PIU Consultant responsible for assessment and monitoring of all environmental and social issues related to the Project according to </w:t>
      </w:r>
      <w:r w:rsidR="00DD539A">
        <w:t xml:space="preserve">SPS </w:t>
      </w:r>
      <w:r w:rsidR="001A6DFD">
        <w:t>2009</w:t>
      </w:r>
      <w:r w:rsidR="00DD539A">
        <w:t xml:space="preserve">, </w:t>
      </w:r>
      <w:r w:rsidR="00DD539A" w:rsidRPr="00DD539A">
        <w:t>applicable laws and regulations of Uzbekistan, and recommendations of the IEE and its EMP</w:t>
      </w:r>
      <w:r w:rsidR="001A6DFD">
        <w:t xml:space="preserve">. </w:t>
      </w:r>
      <w:r w:rsidR="00DD539A">
        <w:t>In 2020 the PIU Consultant has submitted t</w:t>
      </w:r>
      <w:r w:rsidR="001A6DFD">
        <w:t>wo semi-annual reports on S</w:t>
      </w:r>
      <w:r w:rsidR="00DD539A">
        <w:t>afeguard Monitoring</w:t>
      </w:r>
      <w:r w:rsidR="001A6DFD">
        <w:t>.</w:t>
      </w:r>
      <w:r w:rsidR="00DD539A">
        <w:t xml:space="preserve"> The civil works have not started yet excluding Garage Rehabilitation, which do not have impact on environment and there are no affected persons.</w:t>
      </w:r>
    </w:p>
    <w:p w:rsidR="00663A37" w:rsidRDefault="00663A37" w:rsidP="00F8562C">
      <w:pPr>
        <w:pStyle w:val="ListParagraph1"/>
        <w:numPr>
          <w:ilvl w:val="0"/>
          <w:numId w:val="3"/>
        </w:numPr>
      </w:pPr>
      <w:r w:rsidRPr="00663A37">
        <w:rPr>
          <w:b/>
        </w:rPr>
        <w:t>ADB Project Review missions</w:t>
      </w:r>
      <w:r>
        <w:t xml:space="preserve">: Two virtual missions were held by ADB: 16-22 June 2020 and 3-9 November 2020. Due to COVID-19 pandemic restrictions all discussions and meetings of the mission were arranged by video conference with the relevant stakeholders of the Project. The main agenda was </w:t>
      </w:r>
      <w:r w:rsidR="00D216BC">
        <w:t xml:space="preserve">updating the current status of project implementation, </w:t>
      </w:r>
      <w:r>
        <w:t xml:space="preserve">pending procurement packages, low level of loan disbursement, </w:t>
      </w:r>
      <w:r w:rsidR="00D216BC">
        <w:t xml:space="preserve">IA’s compliancy with the Loan covenants, transfer of fixed assets of IA to other company, audit of annual financial statements of the IA and Project and other issues. </w:t>
      </w:r>
    </w:p>
    <w:p w:rsidR="00AF348E" w:rsidRDefault="00AF348E" w:rsidP="00D216BC">
      <w:pPr>
        <w:pStyle w:val="ListParagraph1"/>
        <w:ind w:left="360"/>
      </w:pPr>
    </w:p>
    <w:p w:rsidR="004E30FF" w:rsidRDefault="004E30FF" w:rsidP="00690A23">
      <w:pPr>
        <w:pStyle w:val="ListParagraph1"/>
        <w:rPr>
          <w:highlight w:val="yellow"/>
        </w:rPr>
      </w:pPr>
    </w:p>
    <w:p w:rsidR="004E30FF" w:rsidRDefault="00A263E7">
      <w:pPr>
        <w:pStyle w:val="1"/>
        <w:numPr>
          <w:ilvl w:val="0"/>
          <w:numId w:val="5"/>
        </w:numPr>
      </w:pPr>
      <w:r>
        <w:br w:type="page"/>
      </w:r>
      <w:bookmarkStart w:id="5" w:name="_Toc64301496"/>
      <w:r w:rsidR="004E30FF">
        <w:lastRenderedPageBreak/>
        <w:t>Project Description</w:t>
      </w:r>
      <w:bookmarkEnd w:id="5"/>
      <w:r w:rsidR="004E30FF">
        <w:t xml:space="preserve"> </w:t>
      </w:r>
    </w:p>
    <w:p w:rsidR="004E30FF" w:rsidRDefault="004E30FF">
      <w:pPr>
        <w:pStyle w:val="2"/>
        <w:numPr>
          <w:ilvl w:val="1"/>
          <w:numId w:val="5"/>
        </w:numPr>
      </w:pPr>
      <w:bookmarkStart w:id="6" w:name="_Toc64301497"/>
      <w:r>
        <w:t>Project Description</w:t>
      </w:r>
      <w:bookmarkEnd w:id="6"/>
      <w:r>
        <w:t xml:space="preserve"> </w:t>
      </w:r>
    </w:p>
    <w:p w:rsidR="004E30FF" w:rsidRDefault="004E30FF">
      <w:pPr>
        <w:rPr>
          <w:lang w:eastAsia="ru-RU"/>
        </w:rPr>
      </w:pPr>
    </w:p>
    <w:p w:rsidR="004E30FF" w:rsidRDefault="00BA165C">
      <w:r w:rsidRPr="00BA165C">
        <w:t>ADB approved the project on 27 November 2013 with a loan amount of $69 million from its ordinary capital resources. The total project cost is $76.</w:t>
      </w:r>
      <w:r w:rsidR="00797554">
        <w:t>0</w:t>
      </w:r>
      <w:r w:rsidRPr="00BA165C">
        <w:t xml:space="preserve"> million equivalent, inclusive of taxes and duties, and financial charges during implementation. The Loan and Project Agreements were signed on 27 February 2014. The loan became effective on 29 December 2014. The project is designed for five years of implementation with a loan closing date of 30 June 2019. On 17 December 2018, ADB approved a two-year loan extension with revised loan closing date of 30 June 2021 to complete all ongoing contracts and planned civil works, delayed due to start-up delays (including 10 months delay in effectiveness) and procurement delays (the first contract was awarded in 2016 only) because of the executing agency’s insufficient capacity and government’s prolonged contract registration process.</w:t>
      </w:r>
    </w:p>
    <w:p w:rsidR="00FA1ACB" w:rsidRDefault="00FA1ACB"/>
    <w:p w:rsidR="00FA1ACB" w:rsidRDefault="00FA1ACB">
      <w:r w:rsidRPr="00FA1ACB">
        <w:t>The project impact is improved urban environment and quality of life for the residents of Tashkent. The expected outcome is improved SWM services and management in Tashkent. The project has three outputs: output 1 - rehabilitated and expanded solid waste management (SWM) system in Tashkent; output 2 - strengthened operational capacity; and output 3 - national SWM strategy. Tashkent Municipality is the executing agency (EA) for the outputs 1&amp;2, with SCEEP being the EA for output 3. Maxsustrans is the implementing agency (IA) responsible for the day-to-day project implementation.</w:t>
      </w:r>
    </w:p>
    <w:p w:rsidR="00006A80" w:rsidRDefault="00006A80" w:rsidP="00FA1ACB">
      <w:pPr>
        <w:rPr>
          <w:rStyle w:val="Strong1"/>
        </w:rPr>
      </w:pPr>
    </w:p>
    <w:p w:rsidR="00FA1ACB" w:rsidRDefault="00FA1ACB" w:rsidP="00FA1ACB">
      <w:r>
        <w:rPr>
          <w:rStyle w:val="Strong1"/>
        </w:rPr>
        <w:t xml:space="preserve">Output 1: Rehabilitated and expanded SWM system in Tashkent </w:t>
      </w:r>
    </w:p>
    <w:p w:rsidR="00FA1ACB" w:rsidRDefault="00FA1ACB" w:rsidP="00FA1ACB">
      <w:pPr>
        <w:pStyle w:val="ListParagraph1"/>
        <w:numPr>
          <w:ilvl w:val="0"/>
          <w:numId w:val="4"/>
        </w:numPr>
      </w:pPr>
      <w:r>
        <w:t>full rehabilitation of two transfer stations with the possibility maybe to close an existing transfer station without losing of the current capacity in waste management by minimum of 1,950 tons per day</w:t>
      </w:r>
    </w:p>
    <w:p w:rsidR="00FA1ACB" w:rsidRDefault="00FA1ACB" w:rsidP="00FA1ACB">
      <w:pPr>
        <w:pStyle w:val="ListParagraph1"/>
        <w:numPr>
          <w:ilvl w:val="0"/>
          <w:numId w:val="4"/>
        </w:numPr>
      </w:pPr>
      <w:r>
        <w:t xml:space="preserve">with the foresight to established an disposal and operational capacity by app. 750 thousand tons/year of the rehabilitated and new constructed landfill – </w:t>
      </w:r>
      <w:proofErr w:type="spellStart"/>
      <w:r>
        <w:t>Akhangaran</w:t>
      </w:r>
      <w:proofErr w:type="spellEnd"/>
      <w:r>
        <w:t xml:space="preserve"> with international environmental standards</w:t>
      </w:r>
    </w:p>
    <w:p w:rsidR="00FA1ACB" w:rsidRDefault="00FA1ACB" w:rsidP="00FA1ACB">
      <w:pPr>
        <w:pStyle w:val="ListParagraph1"/>
        <w:numPr>
          <w:ilvl w:val="0"/>
          <w:numId w:val="4"/>
        </w:numPr>
      </w:pPr>
      <w:r>
        <w:t>to create an operative system to reach a strengthened operational capacity with parallel replacement of old trucks and equipment in the fleet</w:t>
      </w:r>
    </w:p>
    <w:p w:rsidR="00FA1ACB" w:rsidRDefault="00FA1ACB" w:rsidP="00FA1ACB">
      <w:pPr>
        <w:pStyle w:val="ListParagraph1"/>
        <w:numPr>
          <w:ilvl w:val="0"/>
          <w:numId w:val="4"/>
        </w:numPr>
      </w:pPr>
      <w:r>
        <w:t xml:space="preserve">to Improve the collection capacity and quality by waste separation by household waste and by small business </w:t>
      </w:r>
    </w:p>
    <w:p w:rsidR="00FA1ACB" w:rsidRDefault="00FA1ACB" w:rsidP="00FA1ACB">
      <w:r>
        <w:rPr>
          <w:rStyle w:val="Strong1"/>
        </w:rPr>
        <w:t xml:space="preserve">Output 2: Strengthened operational capacity </w:t>
      </w:r>
    </w:p>
    <w:p w:rsidR="00FA1ACB" w:rsidRDefault="00FA1ACB" w:rsidP="00FA1ACB">
      <w:pPr>
        <w:pStyle w:val="ListParagraph1"/>
        <w:numPr>
          <w:ilvl w:val="0"/>
          <w:numId w:val="22"/>
        </w:numPr>
      </w:pPr>
      <w:r>
        <w:t xml:space="preserve">at least 90% of households actively segregating waste at source, </w:t>
      </w:r>
    </w:p>
    <w:p w:rsidR="00FA1ACB" w:rsidRDefault="00FA1ACB" w:rsidP="00FA1ACB">
      <w:pPr>
        <w:pStyle w:val="ListParagraph1"/>
        <w:numPr>
          <w:ilvl w:val="0"/>
          <w:numId w:val="22"/>
        </w:numPr>
      </w:pPr>
      <w:r>
        <w:t xml:space="preserve">campaign to raise awareness will reach 90% of households on waste segregation with women household members’ participation, </w:t>
      </w:r>
    </w:p>
    <w:p w:rsidR="00FA1ACB" w:rsidRDefault="00FA1ACB" w:rsidP="00FA1ACB">
      <w:pPr>
        <w:pStyle w:val="ListParagraph1"/>
        <w:numPr>
          <w:ilvl w:val="0"/>
          <w:numId w:val="22"/>
        </w:numPr>
      </w:pPr>
      <w:proofErr w:type="gramStart"/>
      <w:r>
        <w:t>improved</w:t>
      </w:r>
      <w:proofErr w:type="gramEnd"/>
      <w:r>
        <w:t xml:space="preserve"> management, operations and maintenance of MAXSUSTRANS.</w:t>
      </w:r>
    </w:p>
    <w:p w:rsidR="00FA1ACB" w:rsidRDefault="00FA1ACB" w:rsidP="00FA1ACB">
      <w:r>
        <w:rPr>
          <w:rStyle w:val="Strong1"/>
        </w:rPr>
        <w:t xml:space="preserve">Output 3: Elaboration of the National Solid Waste Management Strategy </w:t>
      </w:r>
    </w:p>
    <w:p w:rsidR="00FA1ACB" w:rsidRDefault="00FA1ACB" w:rsidP="00FA1ACB">
      <w:pPr>
        <w:pStyle w:val="ListParagraph1"/>
        <w:numPr>
          <w:ilvl w:val="0"/>
          <w:numId w:val="23"/>
        </w:numPr>
      </w:pPr>
      <w:r>
        <w:t>Preparation of a draft national strategy for the management of solid waste, including a draft sector investment program</w:t>
      </w:r>
    </w:p>
    <w:p w:rsidR="00FA1ACB" w:rsidRDefault="00FA1ACB">
      <w:r w:rsidRPr="00FA1ACB">
        <w:t xml:space="preserve">To date, the outputs 1 and 2 are ongoing, while the output 3 has been completed in 2019, with a national SWM strategy approved by the </w:t>
      </w:r>
      <w:r>
        <w:t>G</w:t>
      </w:r>
      <w:r w:rsidRPr="00FA1ACB">
        <w:t xml:space="preserve">overnment </w:t>
      </w:r>
      <w:r>
        <w:t xml:space="preserve">of Uzbekistan </w:t>
      </w:r>
      <w:r w:rsidRPr="00FA1ACB">
        <w:t>in April 2019</w:t>
      </w:r>
      <w:r w:rsidR="00006A80">
        <w:t xml:space="preserve"> and with final activities of the CDP Consultants within April-December 2019 approved by Maxsustrans in </w:t>
      </w:r>
      <w:proofErr w:type="gramStart"/>
      <w:r w:rsidR="00006A80">
        <w:t>Summer</w:t>
      </w:r>
      <w:proofErr w:type="gramEnd"/>
      <w:r w:rsidR="00006A80">
        <w:t xml:space="preserve"> 2020</w:t>
      </w:r>
      <w:r w:rsidRPr="00FA1ACB">
        <w:t>.</w:t>
      </w:r>
    </w:p>
    <w:p w:rsidR="004E30FF" w:rsidRDefault="004E30FF">
      <w:pPr>
        <w:pStyle w:val="2"/>
        <w:numPr>
          <w:ilvl w:val="1"/>
          <w:numId w:val="5"/>
        </w:numPr>
      </w:pPr>
      <w:bookmarkStart w:id="7" w:name="_Toc64301498"/>
      <w:r>
        <w:lastRenderedPageBreak/>
        <w:t xml:space="preserve">Source of Funding &amp; </w:t>
      </w:r>
      <w:r w:rsidR="006E143C">
        <w:t>Loan Proceeds Category</w:t>
      </w:r>
      <w:bookmarkEnd w:id="7"/>
    </w:p>
    <w:p w:rsidR="004E30FF" w:rsidRDefault="004E30FF"/>
    <w:p w:rsidR="004E30FF" w:rsidRDefault="004E30FF">
      <w:r>
        <w:t xml:space="preserve">The </w:t>
      </w:r>
      <w:r w:rsidR="00A263E7">
        <w:t xml:space="preserve">total Project cost is </w:t>
      </w:r>
      <w:r w:rsidR="00A263E7" w:rsidRPr="00A263E7">
        <w:rPr>
          <w:b/>
        </w:rPr>
        <w:t>USD 76 million</w:t>
      </w:r>
      <w:r w:rsidR="00797554">
        <w:rPr>
          <w:b/>
        </w:rPr>
        <w:t xml:space="preserve"> </w:t>
      </w:r>
      <w:proofErr w:type="gramStart"/>
      <w:r w:rsidR="00797554" w:rsidRPr="00797554">
        <w:t>equivalent</w:t>
      </w:r>
      <w:proofErr w:type="gramEnd"/>
      <w:r w:rsidR="00A263E7" w:rsidRPr="00797554">
        <w:t>,</w:t>
      </w:r>
      <w:r w:rsidR="00A263E7">
        <w:t xml:space="preserve"> of which the ADB loan is </w:t>
      </w:r>
      <w:r w:rsidRPr="00A263E7">
        <w:t xml:space="preserve">USD </w:t>
      </w:r>
      <w:r w:rsidR="00A263E7" w:rsidRPr="00A263E7">
        <w:t>69</w:t>
      </w:r>
      <w:r w:rsidRPr="00A263E7">
        <w:t xml:space="preserve"> million</w:t>
      </w:r>
      <w:r w:rsidR="00A263E7">
        <w:t xml:space="preserve"> and the Uzbek Government share – USD 7 million</w:t>
      </w:r>
      <w:r w:rsidR="00C3155A">
        <w:t xml:space="preserve"> </w:t>
      </w:r>
      <w:r w:rsidR="00C3155A" w:rsidRPr="00797554">
        <w:t>equivalent</w:t>
      </w:r>
      <w:r w:rsidR="00C3155A">
        <w:t xml:space="preserve"> as </w:t>
      </w:r>
      <w:r w:rsidR="00C3155A" w:rsidRPr="00BA165C">
        <w:t xml:space="preserve">taxes and duties, and financial charges during implementation. </w:t>
      </w:r>
      <w:r>
        <w:t xml:space="preserve"> </w:t>
      </w:r>
    </w:p>
    <w:p w:rsidR="004E30FF" w:rsidRDefault="004E30FF">
      <w:pPr>
        <w:rPr>
          <w:sz w:val="12"/>
          <w:szCs w:val="12"/>
        </w:rPr>
      </w:pPr>
    </w:p>
    <w:p w:rsidR="004E30FF" w:rsidRDefault="004E30FF">
      <w:pPr>
        <w:pStyle w:val="12"/>
      </w:pPr>
      <w:r>
        <w:t xml:space="preserve">Table </w:t>
      </w:r>
      <w:r w:rsidR="00972F30">
        <w:fldChar w:fldCharType="begin"/>
      </w:r>
      <w:r>
        <w:instrText xml:space="preserve"> SEQ "Таблица" \* ARABIC </w:instrText>
      </w:r>
      <w:r w:rsidR="00972F30">
        <w:fldChar w:fldCharType="separate"/>
      </w:r>
      <w:r w:rsidR="00E62D34">
        <w:rPr>
          <w:noProof/>
        </w:rPr>
        <w:t>1</w:t>
      </w:r>
      <w:r w:rsidR="00972F30">
        <w:fldChar w:fldCharType="end"/>
      </w:r>
      <w:r>
        <w:t>:</w:t>
      </w:r>
      <w:r>
        <w:tab/>
        <w:t>Sources of Financing</w:t>
      </w:r>
    </w:p>
    <w:tbl>
      <w:tblPr>
        <w:tblW w:w="0" w:type="auto"/>
        <w:tblInd w:w="5" w:type="dxa"/>
        <w:tblLayout w:type="fixed"/>
        <w:tblCellMar>
          <w:left w:w="15" w:type="dxa"/>
          <w:right w:w="0" w:type="dxa"/>
        </w:tblCellMar>
        <w:tblLook w:val="0000"/>
      </w:tblPr>
      <w:tblGrid>
        <w:gridCol w:w="5850"/>
        <w:gridCol w:w="1900"/>
        <w:gridCol w:w="1350"/>
      </w:tblGrid>
      <w:tr w:rsidR="004E30FF">
        <w:trPr>
          <w:trHeight w:hRule="exact" w:val="665"/>
          <w:tblHeader/>
        </w:trPr>
        <w:tc>
          <w:tcPr>
            <w:tcW w:w="58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Default="004E30FF">
            <w:pPr>
              <w:ind w:firstLine="152"/>
              <w:jc w:val="left"/>
            </w:pPr>
            <w:r>
              <w:rPr>
                <w:rStyle w:val="Strong1"/>
                <w:color w:val="FFFFFF"/>
              </w:rPr>
              <w:t>Source of Financing</w:t>
            </w:r>
          </w:p>
        </w:tc>
        <w:tc>
          <w:tcPr>
            <w:tcW w:w="190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Default="004E30FF">
            <w:pPr>
              <w:jc w:val="center"/>
            </w:pPr>
            <w:r>
              <w:rPr>
                <w:rStyle w:val="Strong1"/>
                <w:color w:val="FFFFFF"/>
              </w:rPr>
              <w:t>Total</w:t>
            </w:r>
          </w:p>
          <w:p w:rsidR="004E30FF" w:rsidRDefault="004E30FF">
            <w:pPr>
              <w:jc w:val="center"/>
            </w:pPr>
            <w:r>
              <w:rPr>
                <w:rStyle w:val="Strong1"/>
                <w:color w:val="FFFFFF"/>
              </w:rPr>
              <w:t>(million USD)</w:t>
            </w:r>
          </w:p>
        </w:tc>
        <w:tc>
          <w:tcPr>
            <w:tcW w:w="13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Default="004E30FF">
            <w:pPr>
              <w:jc w:val="center"/>
            </w:pPr>
            <w:r>
              <w:rPr>
                <w:rStyle w:val="Strong1"/>
                <w:color w:val="FFFFFF"/>
              </w:rPr>
              <w:t>%</w:t>
            </w:r>
          </w:p>
        </w:tc>
      </w:tr>
      <w:tr w:rsidR="004E30FF">
        <w:trPr>
          <w:trHeight w:hRule="exact" w:val="278"/>
        </w:trPr>
        <w:tc>
          <w:tcPr>
            <w:tcW w:w="9100" w:type="dxa"/>
            <w:gridSpan w:val="3"/>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r>
              <w:rPr>
                <w:rStyle w:val="Strong1"/>
              </w:rPr>
              <w:t>Asian Development Bank Financing</w:t>
            </w:r>
          </w:p>
        </w:tc>
      </w:tr>
      <w:tr w:rsidR="004E30FF">
        <w:trPr>
          <w:trHeight w:hRule="exact" w:val="283"/>
        </w:trPr>
        <w:tc>
          <w:tcPr>
            <w:tcW w:w="58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rsidP="00C3155A">
            <w:pPr>
              <w:pStyle w:val="af7"/>
              <w:ind w:right="170"/>
              <w:jc w:val="right"/>
            </w:pPr>
            <w:r>
              <w:t>Loan 3067-UZB (Ordinary Capital Resources)</w:t>
            </w:r>
          </w:p>
        </w:tc>
        <w:tc>
          <w:tcPr>
            <w:tcW w:w="190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pPr>
              <w:pStyle w:val="af7"/>
            </w:pPr>
            <w:r>
              <w:rPr>
                <w:w w:val="99"/>
              </w:rPr>
              <w:t>69.00</w:t>
            </w:r>
          </w:p>
        </w:tc>
        <w:tc>
          <w:tcPr>
            <w:tcW w:w="13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pPr>
              <w:pStyle w:val="af7"/>
            </w:pPr>
            <w:r>
              <w:rPr>
                <w:w w:val="99"/>
              </w:rPr>
              <w:t>90.79%</w:t>
            </w:r>
          </w:p>
        </w:tc>
      </w:tr>
      <w:tr w:rsidR="004E30FF">
        <w:trPr>
          <w:trHeight w:val="310"/>
        </w:trPr>
        <w:tc>
          <w:tcPr>
            <w:tcW w:w="9100" w:type="dxa"/>
            <w:gridSpan w:val="3"/>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r>
              <w:rPr>
                <w:rStyle w:val="Strong1"/>
              </w:rPr>
              <w:t>Governmental Financing</w:t>
            </w:r>
          </w:p>
        </w:tc>
      </w:tr>
      <w:tr w:rsidR="004E30FF">
        <w:trPr>
          <w:trHeight w:hRule="exact" w:val="353"/>
        </w:trPr>
        <w:tc>
          <w:tcPr>
            <w:tcW w:w="58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rsidP="00C3155A">
            <w:pPr>
              <w:pStyle w:val="af7"/>
              <w:ind w:right="170"/>
              <w:jc w:val="right"/>
            </w:pPr>
            <w:r>
              <w:t>Government of Uzbekistan (</w:t>
            </w:r>
            <w:proofErr w:type="spellStart"/>
            <w:r>
              <w:t>GoU</w:t>
            </w:r>
            <w:proofErr w:type="spellEnd"/>
            <w:r>
              <w:t xml:space="preserve">) </w:t>
            </w:r>
          </w:p>
        </w:tc>
        <w:tc>
          <w:tcPr>
            <w:tcW w:w="190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pPr>
              <w:pStyle w:val="af7"/>
            </w:pPr>
            <w:r>
              <w:rPr>
                <w:w w:val="99"/>
              </w:rPr>
              <w:t>7.00</w:t>
            </w:r>
          </w:p>
        </w:tc>
        <w:tc>
          <w:tcPr>
            <w:tcW w:w="1350" w:type="dxa"/>
            <w:tcBorders>
              <w:top w:val="single" w:sz="12" w:space="0" w:color="9BBB59"/>
              <w:left w:val="single" w:sz="12" w:space="0" w:color="9BBB59"/>
              <w:bottom w:val="single" w:sz="12" w:space="0" w:color="9BBB59"/>
              <w:right w:val="single" w:sz="12" w:space="0" w:color="9BBB59"/>
            </w:tcBorders>
            <w:shd w:val="clear" w:color="auto" w:fill="auto"/>
            <w:vAlign w:val="center"/>
          </w:tcPr>
          <w:p w:rsidR="004E30FF" w:rsidRDefault="004E30FF">
            <w:pPr>
              <w:pStyle w:val="af7"/>
            </w:pPr>
            <w:r>
              <w:rPr>
                <w:w w:val="99"/>
              </w:rPr>
              <w:t xml:space="preserve"> 9.21%</w:t>
            </w:r>
          </w:p>
        </w:tc>
      </w:tr>
      <w:tr w:rsidR="004E30FF">
        <w:trPr>
          <w:trHeight w:hRule="exact" w:val="285"/>
        </w:trPr>
        <w:tc>
          <w:tcPr>
            <w:tcW w:w="58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Default="004E30FF">
            <w:r>
              <w:rPr>
                <w:rStyle w:val="Strong1"/>
                <w:color w:val="FFFFFF"/>
              </w:rPr>
              <w:t>Total</w:t>
            </w:r>
          </w:p>
          <w:p w:rsidR="004E30FF" w:rsidRDefault="004E30FF">
            <w:pPr>
              <w:rPr>
                <w:color w:val="FFFFFF"/>
              </w:rPr>
            </w:pPr>
          </w:p>
          <w:p w:rsidR="004E30FF" w:rsidRDefault="004E30FF">
            <w:pPr>
              <w:rPr>
                <w:color w:val="FFFFFF"/>
              </w:rPr>
            </w:pPr>
          </w:p>
          <w:p w:rsidR="004E30FF" w:rsidRDefault="004E30FF">
            <w:pPr>
              <w:rPr>
                <w:color w:val="FFFFFF"/>
              </w:rPr>
            </w:pPr>
          </w:p>
          <w:p w:rsidR="004E30FF" w:rsidRDefault="004E30FF">
            <w:pPr>
              <w:rPr>
                <w:color w:val="FFFFFF"/>
              </w:rPr>
            </w:pPr>
          </w:p>
          <w:p w:rsidR="004E30FF" w:rsidRDefault="004E30FF">
            <w:pPr>
              <w:rPr>
                <w:color w:val="FFFFFF"/>
              </w:rPr>
            </w:pPr>
          </w:p>
        </w:tc>
        <w:tc>
          <w:tcPr>
            <w:tcW w:w="190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Default="004E30FF">
            <w:r>
              <w:rPr>
                <w:rStyle w:val="Strong1"/>
                <w:color w:val="FFFFFF"/>
              </w:rPr>
              <w:t>76.00</w:t>
            </w:r>
          </w:p>
        </w:tc>
        <w:tc>
          <w:tcPr>
            <w:tcW w:w="1350" w:type="dxa"/>
            <w:tcBorders>
              <w:top w:val="single" w:sz="12" w:space="0" w:color="9BBB59"/>
              <w:left w:val="single" w:sz="12" w:space="0" w:color="9BBB59"/>
              <w:bottom w:val="single" w:sz="12" w:space="0" w:color="9BBB59"/>
              <w:right w:val="single" w:sz="12" w:space="0" w:color="9BBB59"/>
            </w:tcBorders>
            <w:shd w:val="clear" w:color="auto" w:fill="808080"/>
            <w:vAlign w:val="center"/>
          </w:tcPr>
          <w:p w:rsidR="004E30FF" w:rsidRDefault="004E30FF">
            <w:r>
              <w:rPr>
                <w:rStyle w:val="Strong1"/>
                <w:color w:val="FFFFFF"/>
              </w:rPr>
              <w:t>100%</w:t>
            </w:r>
          </w:p>
        </w:tc>
      </w:tr>
    </w:tbl>
    <w:p w:rsidR="004E30FF" w:rsidRDefault="004E30FF">
      <w:pPr>
        <w:pStyle w:val="NoSpacing1"/>
        <w:tabs>
          <w:tab w:val="left" w:pos="1080"/>
        </w:tabs>
        <w:jc w:val="both"/>
        <w:rPr>
          <w:rFonts w:cs="Calibri"/>
          <w:sz w:val="24"/>
          <w:szCs w:val="24"/>
          <w:lang w:val="en-US"/>
        </w:rPr>
      </w:pPr>
    </w:p>
    <w:p w:rsidR="004E30FF" w:rsidRDefault="004E30FF">
      <w:pPr>
        <w:pStyle w:val="12"/>
      </w:pPr>
      <w:bookmarkStart w:id="8" w:name="_Hlk526848302"/>
      <w:r>
        <w:t xml:space="preserve">Table </w:t>
      </w:r>
      <w:r w:rsidR="00972F30">
        <w:fldChar w:fldCharType="begin"/>
      </w:r>
      <w:r>
        <w:instrText xml:space="preserve"> SEQ "Таблица" \* ARABIC </w:instrText>
      </w:r>
      <w:r w:rsidR="00972F30">
        <w:fldChar w:fldCharType="separate"/>
      </w:r>
      <w:r w:rsidR="00E62D34">
        <w:rPr>
          <w:noProof/>
        </w:rPr>
        <w:t>2</w:t>
      </w:r>
      <w:r w:rsidR="00972F30">
        <w:fldChar w:fldCharType="end"/>
      </w:r>
      <w:r>
        <w:t>:</w:t>
      </w:r>
      <w:r>
        <w:tab/>
      </w:r>
      <w:r w:rsidRPr="00D70ECC">
        <w:t>Withdrawal of Loan Proceeds Category</w:t>
      </w:r>
      <w:r w:rsidR="00612356">
        <w:t xml:space="preserve"> (as reallocated in August 2019)</w:t>
      </w:r>
    </w:p>
    <w:tbl>
      <w:tblPr>
        <w:tblW w:w="4671" w:type="pct"/>
        <w:tblInd w:w="108" w:type="dxa"/>
        <w:tblLayout w:type="fixed"/>
        <w:tblCellMar>
          <w:left w:w="122" w:type="dxa"/>
        </w:tblCellMar>
        <w:tblLook w:val="0000"/>
      </w:tblPr>
      <w:tblGrid>
        <w:gridCol w:w="1149"/>
        <w:gridCol w:w="2964"/>
        <w:gridCol w:w="1928"/>
        <w:gridCol w:w="3046"/>
      </w:tblGrid>
      <w:tr w:rsidR="0008280B" w:rsidRPr="0008280B" w:rsidTr="0008280B">
        <w:trPr>
          <w:trHeight w:val="473"/>
        </w:trPr>
        <w:tc>
          <w:tcPr>
            <w:tcW w:w="1148"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4E30FF" w:rsidRPr="0008280B" w:rsidRDefault="00CA15A5" w:rsidP="00CA15A5">
            <w:pPr>
              <w:spacing w:line="240" w:lineRule="auto"/>
              <w:rPr>
                <w:b/>
                <w:color w:val="FFFFFF" w:themeColor="background1"/>
              </w:rPr>
            </w:pPr>
            <w:r w:rsidRPr="0008280B">
              <w:rPr>
                <w:b/>
                <w:color w:val="FFFFFF" w:themeColor="background1"/>
              </w:rPr>
              <w:t>Loan Category</w:t>
            </w:r>
          </w:p>
        </w:tc>
        <w:tc>
          <w:tcPr>
            <w:tcW w:w="2964"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4E30FF" w:rsidRPr="0008280B" w:rsidRDefault="004E30FF" w:rsidP="00CA15A5">
            <w:pPr>
              <w:spacing w:line="240" w:lineRule="auto"/>
              <w:rPr>
                <w:b/>
                <w:color w:val="FFFFFF" w:themeColor="background1"/>
              </w:rPr>
            </w:pPr>
            <w:r w:rsidRPr="0008280B">
              <w:rPr>
                <w:b/>
                <w:color w:val="FFFFFF" w:themeColor="background1"/>
              </w:rPr>
              <w:t xml:space="preserve">Item </w:t>
            </w:r>
          </w:p>
        </w:tc>
        <w:tc>
          <w:tcPr>
            <w:tcW w:w="1928"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4E30FF" w:rsidRPr="0008280B" w:rsidRDefault="004E30FF" w:rsidP="00CA15A5">
            <w:pPr>
              <w:spacing w:line="240" w:lineRule="auto"/>
              <w:jc w:val="left"/>
              <w:rPr>
                <w:b/>
                <w:color w:val="FFFFFF" w:themeColor="background1"/>
              </w:rPr>
            </w:pPr>
            <w:r w:rsidRPr="0008280B">
              <w:rPr>
                <w:b/>
                <w:color w:val="FFFFFF" w:themeColor="background1"/>
              </w:rPr>
              <w:t xml:space="preserve">Total amount allocated for ADB OCR Financing ($) </w:t>
            </w:r>
          </w:p>
        </w:tc>
        <w:tc>
          <w:tcPr>
            <w:tcW w:w="3046" w:type="dxa"/>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4E30FF" w:rsidRPr="0008280B" w:rsidRDefault="004E30FF" w:rsidP="00CA15A5">
            <w:pPr>
              <w:spacing w:line="240" w:lineRule="auto"/>
              <w:jc w:val="left"/>
              <w:rPr>
                <w:b/>
                <w:color w:val="FFFFFF" w:themeColor="background1"/>
              </w:rPr>
            </w:pPr>
            <w:r w:rsidRPr="0008280B">
              <w:rPr>
                <w:b/>
                <w:color w:val="FFFFFF" w:themeColor="background1"/>
              </w:rPr>
              <w:t xml:space="preserve">Percentage and basis for Withdrawal from the Loan Account </w:t>
            </w:r>
          </w:p>
        </w:tc>
      </w:tr>
      <w:tr w:rsidR="004E30FF" w:rsidRPr="00D70ECC" w:rsidTr="00A1262F">
        <w:trPr>
          <w:trHeight w:val="93"/>
        </w:trPr>
        <w:tc>
          <w:tcPr>
            <w:tcW w:w="4112" w:type="dxa"/>
            <w:gridSpan w:val="2"/>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pStyle w:val="TableW"/>
            </w:pPr>
            <w:r w:rsidRPr="00D70ECC">
              <w:t>Category</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pStyle w:val="TableW"/>
            </w:pPr>
            <w:r w:rsidRPr="00D70ECC">
              <w:t>Subcategory</w:t>
            </w:r>
          </w:p>
        </w:tc>
      </w:tr>
      <w:tr w:rsidR="004E30FF" w:rsidRPr="00D70ECC" w:rsidTr="00A1262F">
        <w:trPr>
          <w:trHeight w:val="94"/>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rPr>
                <w:b/>
              </w:rPr>
              <w:t>1</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rPr>
                <w:b/>
              </w:rPr>
              <w:t xml:space="preserve">Civil Works </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CA15A5">
            <w:pPr>
              <w:jc w:val="left"/>
            </w:pPr>
            <w:r w:rsidRPr="00D70ECC">
              <w:rPr>
                <w:b/>
              </w:rPr>
              <w:t xml:space="preserve">              3</w:t>
            </w:r>
            <w:r w:rsidR="00CA15A5">
              <w:rPr>
                <w:b/>
              </w:rPr>
              <w:t>3</w:t>
            </w:r>
            <w:r w:rsidRPr="00D70ECC">
              <w:rPr>
                <w:b/>
              </w:rPr>
              <w:t>,</w:t>
            </w:r>
            <w:r w:rsidR="00CA15A5">
              <w:rPr>
                <w:b/>
              </w:rPr>
              <w:t>600</w:t>
            </w:r>
            <w:r w:rsidRPr="00D70ECC">
              <w:rPr>
                <w:b/>
              </w:rPr>
              <w:t>,</w:t>
            </w:r>
            <w:r w:rsidR="00CA15A5">
              <w:rPr>
                <w:b/>
              </w:rPr>
              <w:t>48</w:t>
            </w:r>
            <w:r w:rsidRPr="00D70ECC">
              <w:rPr>
                <w:b/>
              </w:rPr>
              <w:t>0</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rsidP="00CA15A5">
            <w:pPr>
              <w:jc w:val="center"/>
            </w:pPr>
            <w:proofErr w:type="spellStart"/>
            <w:r>
              <w:t>a+b</w:t>
            </w:r>
            <w:proofErr w:type="spellEnd"/>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Landfill construction </w:t>
            </w:r>
            <w:r w:rsidR="00CA15A5">
              <w:t xml:space="preserve">&amp; </w:t>
            </w:r>
            <w:r w:rsidR="00CA15A5" w:rsidRPr="00D70ECC">
              <w:t>Dumpsite closure</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rsidP="00CA15A5">
            <w:pPr>
              <w:jc w:val="right"/>
            </w:pPr>
            <w:r>
              <w:t>23</w:t>
            </w:r>
            <w:r w:rsidR="004E30FF" w:rsidRPr="00D70ECC">
              <w:t>,</w:t>
            </w:r>
            <w:r>
              <w:t>531</w:t>
            </w:r>
            <w:r w:rsidR="004E30FF" w:rsidRPr="00D70ECC">
              <w:t>,000</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20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c</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Transfer station, garages and collection points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rsidP="00CA15A5">
            <w:pPr>
              <w:jc w:val="right"/>
            </w:pPr>
            <w:r>
              <w:t>7</w:t>
            </w:r>
            <w:r w:rsidR="004E30FF" w:rsidRPr="00D70ECC">
              <w:t>,</w:t>
            </w:r>
            <w:r>
              <w:t>779</w:t>
            </w:r>
            <w:r w:rsidR="004E30FF" w:rsidRPr="00D70ECC">
              <w:t>,000</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d</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Design and Supervision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CA15A5">
            <w:pPr>
              <w:jc w:val="right"/>
            </w:pPr>
            <w:r w:rsidRPr="00D70ECC">
              <w:t>2,</w:t>
            </w:r>
            <w:r w:rsidR="00CA15A5">
              <w:t>290</w:t>
            </w:r>
            <w:r w:rsidRPr="00D70ECC">
              <w:t>,</w:t>
            </w:r>
            <w:r w:rsidR="00CA15A5">
              <w:t>48</w:t>
            </w:r>
            <w:r w:rsidRPr="00D70ECC">
              <w:t xml:space="preserve">0 </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94"/>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rPr>
                <w:b/>
              </w:rPr>
              <w:t>2</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rPr>
                <w:b/>
              </w:rPr>
              <w:t xml:space="preserve">Plant and Equipment </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CA15A5">
            <w:pPr>
              <w:jc w:val="left"/>
            </w:pPr>
            <w:r w:rsidRPr="00D70ECC">
              <w:rPr>
                <w:b/>
              </w:rPr>
              <w:t xml:space="preserve">              2</w:t>
            </w:r>
            <w:r w:rsidR="00CA15A5">
              <w:rPr>
                <w:b/>
              </w:rPr>
              <w:t>6</w:t>
            </w:r>
            <w:r w:rsidRPr="00D70ECC">
              <w:rPr>
                <w:b/>
              </w:rPr>
              <w:t>,</w:t>
            </w:r>
            <w:r w:rsidR="00CA15A5">
              <w:rPr>
                <w:b/>
              </w:rPr>
              <w:t>756,9</w:t>
            </w:r>
            <w:r w:rsidRPr="00D70ECC">
              <w:rPr>
                <w:b/>
              </w:rPr>
              <w:t xml:space="preserve">00 </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a</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Landfill equipment and machinery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pPr>
              <w:jc w:val="right"/>
            </w:pPr>
            <w:r>
              <w:t>3,800,000</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b</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Waste collection and transfer trucks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pPr>
              <w:jc w:val="right"/>
            </w:pPr>
            <w:r>
              <w:t>17,188,900</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c</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Bins and other equipment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pPr>
              <w:jc w:val="right"/>
            </w:pPr>
            <w:r>
              <w:t>5,768,000</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94"/>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rPr>
                <w:b/>
              </w:rPr>
              <w:t>3</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rPr>
                <w:b/>
              </w:rPr>
              <w:t xml:space="preserve">PMU, Capacity Development and Studies </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CA15A5">
            <w:pPr>
              <w:jc w:val="left"/>
            </w:pPr>
            <w:r w:rsidRPr="00D70ECC">
              <w:rPr>
                <w:b/>
              </w:rPr>
              <w:t xml:space="preserve">                 4,</w:t>
            </w:r>
            <w:r w:rsidR="00CA15A5">
              <w:rPr>
                <w:b/>
              </w:rPr>
              <w:t>168</w:t>
            </w:r>
            <w:r w:rsidRPr="00D70ECC">
              <w:rPr>
                <w:b/>
              </w:rPr>
              <w:t>,</w:t>
            </w:r>
            <w:r w:rsidR="00CA15A5">
              <w:rPr>
                <w:b/>
              </w:rPr>
              <w:t>193</w:t>
            </w:r>
            <w:r w:rsidRPr="00D70ECC">
              <w:rPr>
                <w:b/>
              </w:rPr>
              <w:t xml:space="preserve"> </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a</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Project management personnel and support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CA15A5">
            <w:pPr>
              <w:jc w:val="right"/>
            </w:pPr>
            <w:r w:rsidRPr="00D70ECC">
              <w:t>2,</w:t>
            </w:r>
            <w:r w:rsidR="00CA15A5">
              <w:t>517</w:t>
            </w:r>
            <w:r w:rsidRPr="00D70ECC">
              <w:t>,</w:t>
            </w:r>
            <w:r w:rsidR="00CA15A5">
              <w:t>958</w:t>
            </w:r>
            <w:r w:rsidRPr="00D70ECC">
              <w:t xml:space="preserve"> </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118"/>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t>b</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left"/>
            </w:pPr>
            <w:r w:rsidRPr="00D70ECC">
              <w:t xml:space="preserve">Consultants, capacity support and audit </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rsidP="00CA15A5">
            <w:pPr>
              <w:jc w:val="right"/>
            </w:pPr>
            <w:r>
              <w:t>1</w:t>
            </w:r>
            <w:r w:rsidR="004E30FF" w:rsidRPr="00D70ECC">
              <w:t>,</w:t>
            </w:r>
            <w:r>
              <w:t>650</w:t>
            </w:r>
            <w:r w:rsidR="004E30FF" w:rsidRPr="00D70ECC">
              <w:t>,</w:t>
            </w:r>
            <w:r>
              <w:t>23</w:t>
            </w:r>
            <w:r w:rsidR="004E30FF" w:rsidRPr="00D70ECC">
              <w:t xml:space="preserve">5 </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t xml:space="preserve">100% of total expenditure claimed* </w:t>
            </w:r>
          </w:p>
        </w:tc>
      </w:tr>
      <w:tr w:rsidR="004E30FF" w:rsidRPr="00D70ECC" w:rsidTr="00A1262F">
        <w:trPr>
          <w:trHeight w:val="94"/>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rPr>
                <w:b/>
              </w:rPr>
              <w:t>4</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A1262F">
            <w:pPr>
              <w:jc w:val="left"/>
            </w:pPr>
            <w:r>
              <w:rPr>
                <w:b/>
              </w:rPr>
              <w:t>Interest and Commitment Charges</w:t>
            </w:r>
          </w:p>
        </w:tc>
        <w:tc>
          <w:tcPr>
            <w:tcW w:w="192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CA15A5" w:rsidP="00CA15A5">
            <w:pPr>
              <w:jc w:val="right"/>
            </w:pPr>
            <w:r>
              <w:rPr>
                <w:b/>
              </w:rPr>
              <w:t>4</w:t>
            </w:r>
            <w:r w:rsidR="004E30FF" w:rsidRPr="00D70ECC">
              <w:rPr>
                <w:b/>
              </w:rPr>
              <w:t>,</w:t>
            </w:r>
            <w:r>
              <w:rPr>
                <w:b/>
              </w:rPr>
              <w:t>474</w:t>
            </w:r>
            <w:r w:rsidR="004E30FF" w:rsidRPr="00D70ECC">
              <w:rPr>
                <w:b/>
              </w:rPr>
              <w:t>,</w:t>
            </w:r>
            <w:r>
              <w:rPr>
                <w:b/>
              </w:rPr>
              <w:t>427</w:t>
            </w:r>
            <w:r w:rsidR="004E30FF" w:rsidRPr="00D70ECC">
              <w:rPr>
                <w:b/>
              </w:rPr>
              <w:t xml:space="preserve"> </w:t>
            </w:r>
          </w:p>
        </w:tc>
        <w:tc>
          <w:tcPr>
            <w:tcW w:w="3046"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A1262F">
            <w:pPr>
              <w:jc w:val="left"/>
            </w:pPr>
            <w:r w:rsidRPr="00D70ECC">
              <w:rPr>
                <w:b/>
              </w:rPr>
              <w:t xml:space="preserve">100% of amounts due </w:t>
            </w:r>
          </w:p>
        </w:tc>
      </w:tr>
      <w:tr w:rsidR="004E30FF" w:rsidRPr="00D70ECC" w:rsidTr="0008280B">
        <w:trPr>
          <w:trHeight w:val="135"/>
        </w:trPr>
        <w:tc>
          <w:tcPr>
            <w:tcW w:w="1148"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pPr>
              <w:jc w:val="center"/>
            </w:pPr>
            <w:r w:rsidRPr="00D70ECC">
              <w:rPr>
                <w:b/>
              </w:rPr>
              <w:t>5</w:t>
            </w:r>
          </w:p>
        </w:tc>
        <w:tc>
          <w:tcPr>
            <w:tcW w:w="2964" w:type="dxa"/>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 w:rsidRPr="00D70ECC">
              <w:rPr>
                <w:b/>
              </w:rPr>
              <w:t xml:space="preserve">Unallocated </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sidP="00CA15A5">
            <w:r w:rsidRPr="00D70ECC">
              <w:rPr>
                <w:b/>
              </w:rPr>
              <w:t xml:space="preserve">                 </w:t>
            </w:r>
            <w:r w:rsidR="00CA15A5">
              <w:rPr>
                <w:b/>
              </w:rPr>
              <w:t>-</w:t>
            </w:r>
            <w:r w:rsidRPr="00D70ECC">
              <w:rPr>
                <w:b/>
              </w:rPr>
              <w:t xml:space="preserve"> </w:t>
            </w:r>
          </w:p>
        </w:tc>
      </w:tr>
      <w:tr w:rsidR="0008280B" w:rsidRPr="0008280B" w:rsidTr="0008280B">
        <w:trPr>
          <w:trHeight w:val="124"/>
        </w:trPr>
        <w:tc>
          <w:tcPr>
            <w:tcW w:w="4112" w:type="dxa"/>
            <w:gridSpan w:val="2"/>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4E30FF" w:rsidRPr="0008280B" w:rsidRDefault="00CA15A5" w:rsidP="00CA15A5">
            <w:pPr>
              <w:pStyle w:val="TableW"/>
              <w:rPr>
                <w:color w:val="FFFFFF" w:themeColor="background1"/>
              </w:rPr>
            </w:pPr>
            <w:r w:rsidRPr="0008280B">
              <w:rPr>
                <w:color w:val="FFFFFF" w:themeColor="background1"/>
              </w:rPr>
              <w:t>Total</w:t>
            </w:r>
          </w:p>
        </w:tc>
        <w:tc>
          <w:tcPr>
            <w:tcW w:w="4974" w:type="dxa"/>
            <w:gridSpan w:val="2"/>
            <w:tcBorders>
              <w:top w:val="single" w:sz="12" w:space="0" w:color="70AD47"/>
              <w:left w:val="single" w:sz="12" w:space="0" w:color="70AD47"/>
              <w:bottom w:val="single" w:sz="12" w:space="0" w:color="70AD47"/>
              <w:right w:val="single" w:sz="12" w:space="0" w:color="70AD47"/>
            </w:tcBorders>
            <w:shd w:val="clear" w:color="auto" w:fill="808080" w:themeFill="background1" w:themeFillShade="80"/>
          </w:tcPr>
          <w:p w:rsidR="004E30FF" w:rsidRPr="0008280B" w:rsidRDefault="004E30FF" w:rsidP="002C06BC">
            <w:pPr>
              <w:pStyle w:val="TableW"/>
              <w:rPr>
                <w:color w:val="FFFFFF" w:themeColor="background1"/>
              </w:rPr>
            </w:pPr>
            <w:r w:rsidRPr="0008280B">
              <w:rPr>
                <w:color w:val="FFFFFF" w:themeColor="background1"/>
              </w:rPr>
              <w:t>69,000,000</w:t>
            </w:r>
          </w:p>
        </w:tc>
      </w:tr>
      <w:tr w:rsidR="004E30FF" w:rsidTr="00A1262F">
        <w:trPr>
          <w:trHeight w:val="211"/>
        </w:trPr>
        <w:tc>
          <w:tcPr>
            <w:tcW w:w="9086" w:type="dxa"/>
            <w:gridSpan w:val="4"/>
            <w:tcBorders>
              <w:top w:val="single" w:sz="12" w:space="0" w:color="70AD47"/>
              <w:left w:val="single" w:sz="12" w:space="0" w:color="70AD47"/>
              <w:bottom w:val="single" w:sz="12" w:space="0" w:color="70AD47"/>
              <w:right w:val="single" w:sz="12" w:space="0" w:color="70AD47"/>
            </w:tcBorders>
            <w:shd w:val="clear" w:color="auto" w:fill="auto"/>
          </w:tcPr>
          <w:p w:rsidR="004E30FF" w:rsidRPr="00D70ECC" w:rsidRDefault="004E30FF">
            <w:r w:rsidRPr="00D70ECC">
              <w:rPr>
                <w:sz w:val="20"/>
              </w:rPr>
              <w:t xml:space="preserve">* Exclusive of taxes and duties in </w:t>
            </w:r>
            <w:r w:rsidR="00CA15A5">
              <w:rPr>
                <w:sz w:val="20"/>
              </w:rPr>
              <w:t>Uzbekistan</w:t>
            </w:r>
            <w:r w:rsidRPr="00D70ECC">
              <w:rPr>
                <w:sz w:val="20"/>
              </w:rPr>
              <w:t xml:space="preserve">. </w:t>
            </w:r>
          </w:p>
          <w:p w:rsidR="004E30FF" w:rsidRPr="004F5552" w:rsidRDefault="004E30FF" w:rsidP="00A263E7">
            <w:r w:rsidRPr="00D70ECC">
              <w:t xml:space="preserve">Source: </w:t>
            </w:r>
            <w:r w:rsidR="00A263E7">
              <w:t xml:space="preserve">Loan Agreement with </w:t>
            </w:r>
            <w:r w:rsidRPr="00D70ECC">
              <w:t xml:space="preserve">Asian Development Bank </w:t>
            </w:r>
            <w:r w:rsidR="00A263E7">
              <w:t>from 27.02.2014</w:t>
            </w:r>
            <w:r w:rsidRPr="004F5552">
              <w:t xml:space="preserve"> </w:t>
            </w:r>
          </w:p>
        </w:tc>
      </w:tr>
    </w:tbl>
    <w:p w:rsidR="004E30FF" w:rsidRDefault="007642F0">
      <w:pPr>
        <w:pStyle w:val="1"/>
        <w:numPr>
          <w:ilvl w:val="0"/>
          <w:numId w:val="5"/>
        </w:numPr>
      </w:pPr>
      <w:bookmarkStart w:id="9" w:name="_Hlk499574083"/>
      <w:bookmarkStart w:id="10" w:name="_Toc64301499"/>
      <w:bookmarkEnd w:id="8"/>
      <w:r>
        <w:lastRenderedPageBreak/>
        <w:t xml:space="preserve">CONSULTANT TASKS and </w:t>
      </w:r>
      <w:r w:rsidR="004E30FF">
        <w:t>Activities DURING THE REPORTING PERIOD</w:t>
      </w:r>
      <w:bookmarkEnd w:id="9"/>
      <w:bookmarkEnd w:id="10"/>
      <w:r w:rsidR="004E30FF">
        <w:t xml:space="preserve"> </w:t>
      </w:r>
    </w:p>
    <w:p w:rsidR="004E30FF" w:rsidRDefault="004E30FF"/>
    <w:p w:rsidR="004E30FF" w:rsidRDefault="004E30FF">
      <w:pPr>
        <w:pStyle w:val="2"/>
        <w:numPr>
          <w:ilvl w:val="1"/>
          <w:numId w:val="5"/>
        </w:numPr>
        <w:spacing w:before="0"/>
      </w:pPr>
      <w:bookmarkStart w:id="11" w:name="_Toc64301500"/>
      <w:r>
        <w:t>Project Management (TOR Task A)</w:t>
      </w:r>
      <w:bookmarkEnd w:id="11"/>
    </w:p>
    <w:p w:rsidR="004E30FF" w:rsidRDefault="004E30FF">
      <w:pPr>
        <w:spacing w:line="240" w:lineRule="auto"/>
      </w:pPr>
    </w:p>
    <w:p w:rsidR="00812ED8" w:rsidRDefault="004E30FF">
      <w:pPr>
        <w:spacing w:line="240" w:lineRule="auto"/>
      </w:pPr>
      <w:r>
        <w:t>The PIU Consultant is continuing his task</w:t>
      </w:r>
      <w:r w:rsidR="00561C5E">
        <w:t>s</w:t>
      </w:r>
      <w:r>
        <w:t xml:space="preserve"> according to the contractual obligation and in compliance with the </w:t>
      </w:r>
      <w:r w:rsidR="00561C5E">
        <w:t xml:space="preserve">current </w:t>
      </w:r>
      <w:r>
        <w:t>task</w:t>
      </w:r>
      <w:r w:rsidR="00561C5E">
        <w:t>s given</w:t>
      </w:r>
      <w:r>
        <w:t xml:space="preserve"> by the PIU/Maxsustrans. These activities cover assistance to the project stakeholders in </w:t>
      </w:r>
      <w:r w:rsidR="00561C5E">
        <w:t xml:space="preserve">project implementation, management, administration, </w:t>
      </w:r>
      <w:r>
        <w:t xml:space="preserve">communication and </w:t>
      </w:r>
      <w:r w:rsidR="00F73C5A">
        <w:t>reporting a</w:t>
      </w:r>
      <w:r>
        <w:t>bout the project progress</w:t>
      </w:r>
      <w:r w:rsidR="00561C5E">
        <w:t xml:space="preserve">, procurement activities </w:t>
      </w:r>
      <w:r>
        <w:t xml:space="preserve">and </w:t>
      </w:r>
      <w:r w:rsidR="00812ED8">
        <w:t xml:space="preserve">current </w:t>
      </w:r>
      <w:r>
        <w:t xml:space="preserve">issues. </w:t>
      </w:r>
      <w:r w:rsidR="00812ED8">
        <w:t xml:space="preserve">The Consultant has participated in the </w:t>
      </w:r>
      <w:r w:rsidR="001E61B4">
        <w:t xml:space="preserve">regular </w:t>
      </w:r>
      <w:r>
        <w:t xml:space="preserve">meetings </w:t>
      </w:r>
      <w:r w:rsidR="001E61B4">
        <w:t>via video conferences with ADB, IA, EA, SCEEP and PIU and some</w:t>
      </w:r>
      <w:r>
        <w:t xml:space="preserve">times </w:t>
      </w:r>
      <w:r w:rsidR="00812ED8">
        <w:t xml:space="preserve">in the </w:t>
      </w:r>
      <w:r>
        <w:t xml:space="preserve">short </w:t>
      </w:r>
      <w:r w:rsidR="00812ED8">
        <w:t xml:space="preserve">daily </w:t>
      </w:r>
      <w:r>
        <w:t>briefings.</w:t>
      </w:r>
    </w:p>
    <w:p w:rsidR="0065716B" w:rsidRDefault="0065716B">
      <w:pPr>
        <w:spacing w:line="240" w:lineRule="auto"/>
      </w:pPr>
    </w:p>
    <w:p w:rsidR="0065716B" w:rsidRDefault="0065716B">
      <w:pPr>
        <w:spacing w:line="240" w:lineRule="auto"/>
      </w:pPr>
      <w:r>
        <w:t xml:space="preserve">Due to restrictions caused by COVID-19 the Consultant team has worked since March to July 2020 mostly from home and since August 2020 the office work was a little bit stabilized. Team Leader Mr. Ingo </w:t>
      </w:r>
      <w:proofErr w:type="spellStart"/>
      <w:r>
        <w:t>Schoebe</w:t>
      </w:r>
      <w:proofErr w:type="spellEnd"/>
      <w:r>
        <w:t xml:space="preserve"> left Uzbekistan on 29 February 2020 and until December 2020 he managed the project </w:t>
      </w:r>
      <w:r w:rsidR="00AC541D">
        <w:t xml:space="preserve">implementation and progress reporting </w:t>
      </w:r>
      <w:r>
        <w:t>from home office with limited input</w:t>
      </w:r>
      <w:r w:rsidR="00AC541D">
        <w:t xml:space="preserve"> as well as Mr. </w:t>
      </w:r>
      <w:proofErr w:type="spellStart"/>
      <w:r w:rsidR="00AC541D">
        <w:t>Aleksandr</w:t>
      </w:r>
      <w:proofErr w:type="spellEnd"/>
      <w:r w:rsidR="00AC541D">
        <w:t xml:space="preserve"> </w:t>
      </w:r>
      <w:proofErr w:type="spellStart"/>
      <w:r w:rsidR="00AC541D">
        <w:t>Maximov</w:t>
      </w:r>
      <w:proofErr w:type="spellEnd"/>
      <w:r w:rsidR="00AC541D">
        <w:t xml:space="preserve"> – International Procurement Specialist</w:t>
      </w:r>
      <w:r>
        <w:t xml:space="preserve">. </w:t>
      </w:r>
    </w:p>
    <w:p w:rsidR="00812ED8" w:rsidRDefault="00812ED8">
      <w:pPr>
        <w:spacing w:line="240" w:lineRule="auto"/>
      </w:pPr>
    </w:p>
    <w:p w:rsidR="0065716B" w:rsidRPr="00D63623" w:rsidRDefault="0065716B">
      <w:pPr>
        <w:spacing w:line="240" w:lineRule="auto"/>
        <w:rPr>
          <w:lang w:val="uz-Latn-UZ"/>
        </w:rPr>
      </w:pPr>
      <w:r>
        <w:t>On 3</w:t>
      </w:r>
      <w:r w:rsidR="003C68D6">
        <w:t>0</w:t>
      </w:r>
      <w:r>
        <w:t xml:space="preserve"> Ju</w:t>
      </w:r>
      <w:r w:rsidR="003C68D6">
        <w:t>ne</w:t>
      </w:r>
      <w:r>
        <w:t xml:space="preserve"> 2020 PIU Head Mr. </w:t>
      </w:r>
      <w:proofErr w:type="spellStart"/>
      <w:r>
        <w:t>Rustam</w:t>
      </w:r>
      <w:proofErr w:type="spellEnd"/>
      <w:r>
        <w:t xml:space="preserve"> </w:t>
      </w:r>
      <w:proofErr w:type="spellStart"/>
      <w:r>
        <w:t>Shukurov</w:t>
      </w:r>
      <w:proofErr w:type="spellEnd"/>
      <w:r>
        <w:t xml:space="preserve"> </w:t>
      </w:r>
      <w:r w:rsidR="003C68D6">
        <w:t xml:space="preserve">and Deputy Head Mr. </w:t>
      </w:r>
      <w:proofErr w:type="spellStart"/>
      <w:r w:rsidR="003C68D6">
        <w:t>Muzaffar</w:t>
      </w:r>
      <w:proofErr w:type="spellEnd"/>
      <w:r w:rsidR="003C68D6">
        <w:t xml:space="preserve"> </w:t>
      </w:r>
      <w:proofErr w:type="spellStart"/>
      <w:r w:rsidR="003C68D6">
        <w:t>Mansurov</w:t>
      </w:r>
      <w:proofErr w:type="spellEnd"/>
      <w:r w:rsidR="003C68D6">
        <w:t xml:space="preserve"> have retired. Since July 2020 Mr. </w:t>
      </w:r>
      <w:proofErr w:type="spellStart"/>
      <w:r w:rsidR="003C68D6">
        <w:t>Jasur</w:t>
      </w:r>
      <w:proofErr w:type="spellEnd"/>
      <w:r w:rsidR="003C68D6">
        <w:t xml:space="preserve"> </w:t>
      </w:r>
      <w:proofErr w:type="spellStart"/>
      <w:r w:rsidR="003C68D6">
        <w:t>Hamidov</w:t>
      </w:r>
      <w:proofErr w:type="spellEnd"/>
      <w:r w:rsidR="003C68D6">
        <w:t xml:space="preserve"> is leading PIU and Mr. </w:t>
      </w:r>
      <w:proofErr w:type="spellStart"/>
      <w:r w:rsidR="003C68D6">
        <w:t>Farkhad</w:t>
      </w:r>
      <w:proofErr w:type="spellEnd"/>
      <w:r w:rsidR="003C68D6">
        <w:t xml:space="preserve"> </w:t>
      </w:r>
      <w:proofErr w:type="spellStart"/>
      <w:r w:rsidR="003C68D6">
        <w:t>Khamdamov</w:t>
      </w:r>
      <w:proofErr w:type="spellEnd"/>
      <w:r w:rsidR="003C68D6">
        <w:t xml:space="preserve"> has started his work as Deputy Head since August 2020. There are no changes in </w:t>
      </w:r>
      <w:r w:rsidR="00D63623">
        <w:t xml:space="preserve">top management of Maxsustrans. </w:t>
      </w:r>
      <w:r w:rsidR="00D63623">
        <w:rPr>
          <w:lang w:val="uz-Latn-UZ"/>
        </w:rPr>
        <w:t>Other staff of PIU is available and not changed</w:t>
      </w:r>
      <w:r w:rsidR="00864B96">
        <w:rPr>
          <w:lang w:val="uz-Latn-UZ"/>
        </w:rPr>
        <w:t>.</w:t>
      </w:r>
    </w:p>
    <w:p w:rsidR="0065716B" w:rsidRDefault="0065716B">
      <w:pPr>
        <w:spacing w:line="240" w:lineRule="auto"/>
      </w:pPr>
    </w:p>
    <w:p w:rsidR="008C1299" w:rsidRDefault="008C1299" w:rsidP="008C1299">
      <w:pPr>
        <w:spacing w:line="240" w:lineRule="auto"/>
      </w:pPr>
      <w:r>
        <w:t xml:space="preserve">During the reporting period ADB has conducted two loan review missions through video conference intermittently from </w:t>
      </w:r>
      <w:r w:rsidRPr="00227169">
        <w:rPr>
          <w:b/>
        </w:rPr>
        <w:t>16 to 22 June 2020</w:t>
      </w:r>
      <w:r>
        <w:t xml:space="preserve"> and from </w:t>
      </w:r>
      <w:r w:rsidRPr="00227169">
        <w:rPr>
          <w:b/>
        </w:rPr>
        <w:t>3 to 9 November 2020</w:t>
      </w:r>
      <w:r>
        <w:t xml:space="preserve">. The missions held discussions with the Ministry of Investments and Foreign </w:t>
      </w:r>
      <w:r w:rsidR="00DD539A">
        <w:t xml:space="preserve">Trade, Ministry of Finance, </w:t>
      </w:r>
      <w:r>
        <w:t xml:space="preserve">Tashkent City </w:t>
      </w:r>
      <w:proofErr w:type="spellStart"/>
      <w:r>
        <w:t>Hokimiyat</w:t>
      </w:r>
      <w:proofErr w:type="spellEnd"/>
      <w:r w:rsidR="00DD539A">
        <w:t xml:space="preserve">, </w:t>
      </w:r>
      <w:proofErr w:type="spellStart"/>
      <w:r w:rsidR="00DD539A">
        <w:t>Maxsustrans</w:t>
      </w:r>
      <w:proofErr w:type="spellEnd"/>
      <w:r w:rsidR="00DD539A">
        <w:t xml:space="preserve"> and PIU/PIU Consultants</w:t>
      </w:r>
      <w:r>
        <w:t>.</w:t>
      </w:r>
    </w:p>
    <w:p w:rsidR="00DD539A" w:rsidRDefault="00DD539A" w:rsidP="008C1299">
      <w:pPr>
        <w:spacing w:line="240" w:lineRule="auto"/>
      </w:pPr>
    </w:p>
    <w:p w:rsidR="008C1299" w:rsidRDefault="008C1299" w:rsidP="008C1299">
      <w:pPr>
        <w:spacing w:line="240" w:lineRule="auto"/>
      </w:pPr>
      <w:r>
        <w:t>The mission</w:t>
      </w:r>
      <w:r w:rsidR="00DD539A">
        <w:t>s</w:t>
      </w:r>
      <w:r>
        <w:t xml:space="preserve"> aim</w:t>
      </w:r>
      <w:r w:rsidR="00DD539A">
        <w:t>ed</w:t>
      </w:r>
      <w:r>
        <w:t xml:space="preserve"> to (</w:t>
      </w:r>
      <w:proofErr w:type="spellStart"/>
      <w:r>
        <w:t>i</w:t>
      </w:r>
      <w:proofErr w:type="spellEnd"/>
      <w:r>
        <w:t xml:space="preserve">) follow up with Tashkent </w:t>
      </w:r>
      <w:proofErr w:type="spellStart"/>
      <w:r>
        <w:t>Hokimiyat</w:t>
      </w:r>
      <w:proofErr w:type="spellEnd"/>
      <w:r>
        <w:t>, the project executing agency, on the pending</w:t>
      </w:r>
      <w:r w:rsidR="00DD539A">
        <w:t xml:space="preserve"> </w:t>
      </w:r>
      <w:r>
        <w:t>procurement of critical civil works package (CW1 - Sanitary Landfill Establishment and Dumpsite Closure); (ii) discuss with Maxsustrans and the Project Implementation Unit the project performance and</w:t>
      </w:r>
      <w:r w:rsidR="00DD539A">
        <w:t xml:space="preserve"> </w:t>
      </w:r>
      <w:r>
        <w:t>comp</w:t>
      </w:r>
      <w:r w:rsidR="00DD539A">
        <w:t xml:space="preserve">liance with the loan covenants; (iii) discuss the issue of </w:t>
      </w:r>
      <w:r w:rsidR="00DD539A" w:rsidRPr="00DD539A">
        <w:t>Maxsustrans asset transfer which ADB had not been informed, which is not compliant with loan covenants</w:t>
      </w:r>
      <w:r w:rsidR="005C555B">
        <w:t xml:space="preserve">; iv) monitor the project performance by </w:t>
      </w:r>
      <w:r w:rsidR="005C555B" w:rsidRPr="005C555B">
        <w:t>Maxsustrans with methodology and plan for monitoring project performance using targets, indicators, assumptions and risks</w:t>
      </w:r>
      <w:r w:rsidR="00666614">
        <w:t>; and v) monitor the g</w:t>
      </w:r>
      <w:r w:rsidR="00666614" w:rsidRPr="00666614">
        <w:t xml:space="preserve">ender </w:t>
      </w:r>
      <w:r w:rsidR="00666614">
        <w:t xml:space="preserve">and social dimensions and implementation of Gender Action Plan by PIU’s </w:t>
      </w:r>
      <w:r w:rsidR="00666614" w:rsidRPr="00666614">
        <w:t>gender focal person in place to coordinate the activities on a regular basis under the guidance of URM gender specialist</w:t>
      </w:r>
      <w:r w:rsidR="00666614">
        <w:t>.</w:t>
      </w:r>
    </w:p>
    <w:p w:rsidR="0023113F" w:rsidRDefault="0023113F" w:rsidP="008C1299">
      <w:pPr>
        <w:spacing w:line="240" w:lineRule="auto"/>
      </w:pPr>
    </w:p>
    <w:p w:rsidR="004E30FF" w:rsidRDefault="00227169">
      <w:pPr>
        <w:spacing w:line="240" w:lineRule="auto"/>
      </w:pPr>
      <w:r>
        <w:t>During the reporting period t</w:t>
      </w:r>
      <w:r w:rsidR="004E30FF">
        <w:t xml:space="preserve">he Client and PIU was assisted in communication and current progress reporting to the local authorities and the Executing Agencies like Tashkent City Administration and State Committee of Uzbekistan of Ecology and Environmental Protection. </w:t>
      </w:r>
      <w:r>
        <w:t xml:space="preserve">In addition, the PIU Consultant has supported the City’s Tender Commission and Evaluation Committee in conduction of procurement process, bid evaluation and clarifications to/from bidders. </w:t>
      </w:r>
    </w:p>
    <w:p w:rsidR="008C6309" w:rsidRDefault="008C6309">
      <w:pPr>
        <w:spacing w:line="240" w:lineRule="auto"/>
      </w:pPr>
    </w:p>
    <w:p w:rsidR="00793C7D" w:rsidRDefault="008C6309">
      <w:pPr>
        <w:spacing w:line="240" w:lineRule="auto"/>
      </w:pPr>
      <w:r>
        <w:t xml:space="preserve">Furthermore, within the reporting period, upon request of Maxsustrans, PIU and ADB, PIU Consultant was involved in discussions through video conference regarding project progress, current procurement issues, disbursements and other pending matters, which </w:t>
      </w:r>
      <w:r w:rsidR="009305CA">
        <w:t xml:space="preserve">then </w:t>
      </w:r>
      <w:r>
        <w:t>resulted to Agreed Action Plan with highlighting the critical issues</w:t>
      </w:r>
      <w:r w:rsidR="00C50CC5">
        <w:t>, mitigation/improvement measures and responsible persons</w:t>
      </w:r>
      <w:r>
        <w:t xml:space="preserve">. </w:t>
      </w:r>
    </w:p>
    <w:p w:rsidR="00793C7D" w:rsidRDefault="00793C7D">
      <w:pPr>
        <w:spacing w:line="240" w:lineRule="auto"/>
      </w:pPr>
    </w:p>
    <w:p w:rsidR="007B73C9" w:rsidRDefault="00793C7D">
      <w:pPr>
        <w:spacing w:line="240" w:lineRule="auto"/>
      </w:pPr>
      <w:r>
        <w:t xml:space="preserve">Due to restrictions caused by COVID-19 the auditors from BDO Tajikistan could not come to Uzbekistan for audit of </w:t>
      </w:r>
      <w:r w:rsidRPr="00793C7D">
        <w:t>the accompanying Special Purpose Financial Statements of the Project “Solid Waste Management Improvement Project”</w:t>
      </w:r>
      <w:r>
        <w:t xml:space="preserve"> for FY 2019. PIU Consultant’s team and PIU accountant have arranged preparation, scanning and providing all financial data and supporting documents to HQ of BDO Tajikistan in Dushanbe city. </w:t>
      </w:r>
      <w:r w:rsidR="00FD5150">
        <w:t xml:space="preserve">By this way, the auditors could conduct audit of the Financial Statements of </w:t>
      </w:r>
      <w:r w:rsidR="00FD5150">
        <w:lastRenderedPageBreak/>
        <w:t xml:space="preserve">SWMIP for 2019 on time. </w:t>
      </w:r>
      <w:r w:rsidR="009E4719">
        <w:t>ADB b</w:t>
      </w:r>
      <w:r w:rsidR="00FD5150">
        <w:t xml:space="preserve">y </w:t>
      </w:r>
      <w:r w:rsidR="009E4719">
        <w:t xml:space="preserve">its </w:t>
      </w:r>
      <w:r w:rsidR="00FD5150">
        <w:t xml:space="preserve">fax letter </w:t>
      </w:r>
      <w:r w:rsidR="009E4719">
        <w:t xml:space="preserve">from 27 July 2020 has found the </w:t>
      </w:r>
      <w:r w:rsidR="009E4719" w:rsidRPr="009E4719">
        <w:t>unqualifie</w:t>
      </w:r>
      <w:r w:rsidR="009E4719">
        <w:t>d opinion on the APFS acceptable and also noted that there is no opinion provided and unaudited figures were used in the computation of the financial covenants. Maxsustrans was advised to ensure that in the Audited Entity Financial Statements (AEFS)</w:t>
      </w:r>
      <w:r w:rsidR="00051CA2">
        <w:t xml:space="preserve">: </w:t>
      </w:r>
      <w:r w:rsidR="009E4719">
        <w:t>(</w:t>
      </w:r>
      <w:proofErr w:type="spellStart"/>
      <w:r w:rsidR="009E4719">
        <w:t>i</w:t>
      </w:r>
      <w:proofErr w:type="spellEnd"/>
      <w:r w:rsidR="009E4719">
        <w:t xml:space="preserve">) </w:t>
      </w:r>
      <w:r w:rsidR="009E4719" w:rsidRPr="009E4719">
        <w:t>auditor’s opinion is provided on the financial covenants; and (ii) financial covenants are calculated using audited numbers from the AEFS.</w:t>
      </w:r>
      <w:r w:rsidR="007B73C9">
        <w:t xml:space="preserve"> </w:t>
      </w:r>
    </w:p>
    <w:p w:rsidR="007B73C9" w:rsidRDefault="007B73C9">
      <w:pPr>
        <w:spacing w:line="240" w:lineRule="auto"/>
      </w:pPr>
    </w:p>
    <w:p w:rsidR="008C6309" w:rsidRDefault="007B73C9">
      <w:pPr>
        <w:spacing w:line="240" w:lineRule="auto"/>
      </w:pPr>
      <w:r>
        <w:t xml:space="preserve">The APFS has been disclosed on the ADB website, at </w:t>
      </w:r>
      <w:hyperlink r:id="rId17" w:history="1">
        <w:r w:rsidRPr="00A86FCA">
          <w:rPr>
            <w:rStyle w:val="a8"/>
          </w:rPr>
          <w:t>https://www.adb.org/projects/documents/uzb-45366-004-apfs-3</w:t>
        </w:r>
      </w:hyperlink>
      <w:r>
        <w:t>.</w:t>
      </w:r>
    </w:p>
    <w:p w:rsidR="007B73C9" w:rsidRDefault="007B73C9">
      <w:pPr>
        <w:spacing w:line="240" w:lineRule="auto"/>
      </w:pPr>
    </w:p>
    <w:p w:rsidR="00A27BF3" w:rsidRDefault="00051CA2">
      <w:pPr>
        <w:spacing w:line="240" w:lineRule="auto"/>
      </w:pPr>
      <w:r>
        <w:t xml:space="preserve">In October 2020 Maxsustrans has submitted to ADB the Audited Entity Financial Statements (AEFS) and Management Letter for FY 2019. According to the Government resolution, preparation and submission of AEFS of the state-owned companies was postponed to October 2020. </w:t>
      </w:r>
    </w:p>
    <w:p w:rsidR="00A27BF3" w:rsidRDefault="00A27BF3">
      <w:pPr>
        <w:spacing w:line="240" w:lineRule="auto"/>
      </w:pPr>
    </w:p>
    <w:p w:rsidR="004E30FF" w:rsidRDefault="0029495A" w:rsidP="005F4960">
      <w:pPr>
        <w:pStyle w:val="NoSpacing1"/>
        <w:jc w:val="both"/>
      </w:pPr>
      <w:r>
        <w:rPr>
          <w:lang w:val="en-US"/>
        </w:rPr>
        <w:t xml:space="preserve">The Consultant has prepared and submitted </w:t>
      </w:r>
      <w:r w:rsidR="004E30FF">
        <w:rPr>
          <w:lang w:val="en-US"/>
        </w:rPr>
        <w:t xml:space="preserve">the following reports during </w:t>
      </w:r>
      <w:r>
        <w:rPr>
          <w:lang w:val="en-US"/>
        </w:rPr>
        <w:t xml:space="preserve">2020 </w:t>
      </w:r>
      <w:r w:rsidR="006D09DB">
        <w:rPr>
          <w:lang w:val="en-US"/>
        </w:rPr>
        <w:t>(</w:t>
      </w:r>
      <w:r>
        <w:rPr>
          <w:lang w:val="en-US"/>
        </w:rPr>
        <w:t xml:space="preserve">January </w:t>
      </w:r>
      <w:r w:rsidR="006D09DB">
        <w:rPr>
          <w:lang w:val="en-US"/>
        </w:rPr>
        <w:t xml:space="preserve">– </w:t>
      </w:r>
      <w:r w:rsidR="005F4960">
        <w:rPr>
          <w:lang w:val="en-US"/>
        </w:rPr>
        <w:t>December</w:t>
      </w:r>
      <w:r>
        <w:rPr>
          <w:lang w:val="en-US"/>
        </w:rPr>
        <w:t xml:space="preserve"> 2020</w:t>
      </w:r>
      <w:r w:rsidR="006D09DB">
        <w:rPr>
          <w:lang w:val="en-US"/>
        </w:rPr>
        <w:t>)</w:t>
      </w:r>
      <w:r w:rsidR="004E30FF">
        <w:rPr>
          <w:lang w:val="en-US"/>
        </w:rPr>
        <w:t>:</w:t>
      </w:r>
    </w:p>
    <w:p w:rsidR="004E30FF" w:rsidRDefault="007C32A0">
      <w:pPr>
        <w:pStyle w:val="Liste-"/>
        <w:numPr>
          <w:ilvl w:val="0"/>
          <w:numId w:val="6"/>
        </w:numPr>
      </w:pPr>
      <w:r>
        <w:t xml:space="preserve">Quarterly Progress Report </w:t>
      </w:r>
      <w:r w:rsidR="0096777E">
        <w:t xml:space="preserve">(for 1. Quarter </w:t>
      </w:r>
      <w:r>
        <w:t>2020</w:t>
      </w:r>
      <w:r w:rsidR="0096777E">
        <w:t>)</w:t>
      </w:r>
    </w:p>
    <w:p w:rsidR="004E30FF" w:rsidRDefault="006D09DB">
      <w:pPr>
        <w:pStyle w:val="Liste-"/>
        <w:numPr>
          <w:ilvl w:val="0"/>
          <w:numId w:val="6"/>
        </w:numPr>
      </w:pPr>
      <w:r>
        <w:t>Quarterly</w:t>
      </w:r>
      <w:r w:rsidR="005F4960">
        <w:t>/Semiannual</w:t>
      </w:r>
      <w:r>
        <w:t xml:space="preserve"> </w:t>
      </w:r>
      <w:r w:rsidR="004E30FF">
        <w:t>Safeguard Compliance and Monitoring Report</w:t>
      </w:r>
      <w:r w:rsidR="007C32A0">
        <w:t>s</w:t>
      </w:r>
      <w:r w:rsidR="008D5E45">
        <w:t xml:space="preserve"> (</w:t>
      </w:r>
      <w:r w:rsidR="0096777E">
        <w:t xml:space="preserve">for </w:t>
      </w:r>
      <w:r w:rsidR="008D5E45">
        <w:t>1. Quarter a</w:t>
      </w:r>
      <w:r w:rsidR="0096777E">
        <w:t xml:space="preserve">nd </w:t>
      </w:r>
      <w:r w:rsidR="008D5E45">
        <w:t>January-June 2020)</w:t>
      </w:r>
    </w:p>
    <w:p w:rsidR="004E30FF" w:rsidRDefault="006D09DB">
      <w:pPr>
        <w:pStyle w:val="Liste-"/>
        <w:numPr>
          <w:ilvl w:val="0"/>
          <w:numId w:val="6"/>
        </w:numPr>
      </w:pPr>
      <w:r>
        <w:t>Quarterly</w:t>
      </w:r>
      <w:r w:rsidR="005F4960">
        <w:t>/Semiannual</w:t>
      </w:r>
      <w:r>
        <w:t xml:space="preserve"> </w:t>
      </w:r>
      <w:r w:rsidR="004E30FF">
        <w:t>Environmental Monitoring Report</w:t>
      </w:r>
      <w:r w:rsidR="007C32A0">
        <w:t>s</w:t>
      </w:r>
      <w:r w:rsidR="008D5E45">
        <w:t xml:space="preserve"> (</w:t>
      </w:r>
      <w:r w:rsidR="0096777E">
        <w:t xml:space="preserve">for </w:t>
      </w:r>
      <w:r w:rsidR="008D5E45">
        <w:t>1. Quarter a</w:t>
      </w:r>
      <w:r w:rsidR="0096777E">
        <w:t xml:space="preserve">nd </w:t>
      </w:r>
      <w:r w:rsidR="008D5E45">
        <w:t>January-June 2020)</w:t>
      </w:r>
    </w:p>
    <w:p w:rsidR="004E30FF" w:rsidRPr="006D09DB" w:rsidRDefault="004E30FF">
      <w:pPr>
        <w:pStyle w:val="Liste-"/>
        <w:numPr>
          <w:ilvl w:val="0"/>
          <w:numId w:val="6"/>
        </w:numPr>
      </w:pPr>
      <w:r>
        <w:t>Updated Project Implementation and Procurement Schedule</w:t>
      </w:r>
      <w:r w:rsidR="00ED77E7">
        <w:t xml:space="preserve"> </w:t>
      </w:r>
      <w:r w:rsidR="00ED77E7" w:rsidRPr="00ED77E7">
        <w:rPr>
          <w:i/>
        </w:rPr>
        <w:t>(when required)</w:t>
      </w:r>
    </w:p>
    <w:p w:rsidR="006D09DB" w:rsidRDefault="006D09DB">
      <w:pPr>
        <w:pStyle w:val="Liste-"/>
        <w:numPr>
          <w:ilvl w:val="0"/>
          <w:numId w:val="6"/>
        </w:numPr>
      </w:pPr>
      <w:r>
        <w:t xml:space="preserve">Updated Project Procurement Plan </w:t>
      </w:r>
      <w:r w:rsidRPr="00ED77E7">
        <w:rPr>
          <w:i/>
        </w:rPr>
        <w:t>(when required</w:t>
      </w:r>
      <w:r w:rsidR="008D5E45">
        <w:rPr>
          <w:i/>
        </w:rPr>
        <w:t>)</w:t>
      </w:r>
    </w:p>
    <w:p w:rsidR="004E30FF" w:rsidRDefault="004E30FF">
      <w:pPr>
        <w:pStyle w:val="Liste-"/>
        <w:numPr>
          <w:ilvl w:val="0"/>
          <w:numId w:val="6"/>
        </w:numPr>
      </w:pPr>
      <w:r>
        <w:t xml:space="preserve">Disbursements Requests, Withdrawal Applications </w:t>
      </w:r>
      <w:r w:rsidR="006D09DB">
        <w:t xml:space="preserve">and Reporting </w:t>
      </w:r>
      <w:r>
        <w:t>(</w:t>
      </w:r>
      <w:r w:rsidR="008D5E45">
        <w:rPr>
          <w:bCs/>
          <w:i/>
          <w:iCs/>
        </w:rPr>
        <w:t>as</w:t>
      </w:r>
      <w:r>
        <w:rPr>
          <w:bCs/>
          <w:i/>
          <w:iCs/>
        </w:rPr>
        <w:t xml:space="preserve"> and when required)</w:t>
      </w:r>
    </w:p>
    <w:p w:rsidR="004E30FF" w:rsidRDefault="004E30FF">
      <w:pPr>
        <w:pStyle w:val="Liste-"/>
        <w:numPr>
          <w:ilvl w:val="0"/>
          <w:numId w:val="6"/>
        </w:numPr>
      </w:pPr>
      <w:r>
        <w:t>Claims Evaluation Report of the Suppliers (</w:t>
      </w:r>
      <w:r w:rsidR="008D5E45">
        <w:rPr>
          <w:bCs/>
          <w:i/>
          <w:iCs/>
        </w:rPr>
        <w:t>as</w:t>
      </w:r>
      <w:r>
        <w:rPr>
          <w:bCs/>
          <w:i/>
          <w:iCs/>
        </w:rPr>
        <w:t xml:space="preserve"> and when required)</w:t>
      </w:r>
    </w:p>
    <w:p w:rsidR="004E30FF" w:rsidRDefault="004E30FF">
      <w:pPr>
        <w:pStyle w:val="NoSpacing1"/>
        <w:rPr>
          <w:u w:val="single"/>
          <w:lang w:val="en-US"/>
        </w:rPr>
      </w:pPr>
    </w:p>
    <w:p w:rsidR="004E30FF" w:rsidRDefault="004E30FF">
      <w:pPr>
        <w:pStyle w:val="NoSpacing1"/>
        <w:jc w:val="both"/>
      </w:pPr>
      <w:r>
        <w:rPr>
          <w:lang w:val="en-US"/>
        </w:rPr>
        <w:t xml:space="preserve">In addition, the Consultant will support and advise the Client and PIU at preparation and submission of ad-hoc reports to local authorities and EAs upon demand. </w:t>
      </w:r>
    </w:p>
    <w:p w:rsidR="004E30FF" w:rsidRDefault="004E30FF">
      <w:pPr>
        <w:pStyle w:val="NoSpacing1"/>
        <w:rPr>
          <w:lang w:val="en-US"/>
        </w:rPr>
      </w:pPr>
    </w:p>
    <w:p w:rsidR="004E30FF" w:rsidRDefault="004E30FF">
      <w:pPr>
        <w:pStyle w:val="2"/>
        <w:numPr>
          <w:ilvl w:val="1"/>
          <w:numId w:val="5"/>
        </w:numPr>
      </w:pPr>
      <w:bookmarkStart w:id="12" w:name="_Toc64301501"/>
      <w:r>
        <w:t>Procurement (TOR Task B)</w:t>
      </w:r>
      <w:bookmarkEnd w:id="12"/>
    </w:p>
    <w:p w:rsidR="004E30FF" w:rsidRDefault="004E30FF"/>
    <w:p w:rsidR="00682AE5" w:rsidRPr="00DF2260" w:rsidRDefault="004E30FF">
      <w:pPr>
        <w:pStyle w:val="NoSpacing1"/>
        <w:jc w:val="both"/>
        <w:rPr>
          <w:lang w:val="en-US"/>
        </w:rPr>
      </w:pPr>
      <w:r>
        <w:rPr>
          <w:lang w:val="en-US"/>
        </w:rPr>
        <w:t xml:space="preserve">The </w:t>
      </w:r>
      <w:r w:rsidR="00EB10D2">
        <w:rPr>
          <w:lang w:val="en-US"/>
        </w:rPr>
        <w:t xml:space="preserve">Consultant has continued to assist to the Client in procurement planning and </w:t>
      </w:r>
      <w:r w:rsidR="00125926">
        <w:rPr>
          <w:lang w:val="en-US"/>
        </w:rPr>
        <w:t xml:space="preserve">tender </w:t>
      </w:r>
      <w:r w:rsidR="00EB10D2">
        <w:rPr>
          <w:lang w:val="en-US"/>
        </w:rPr>
        <w:t>implement</w:t>
      </w:r>
      <w:r w:rsidR="005D6A07">
        <w:rPr>
          <w:lang w:val="en-US"/>
        </w:rPr>
        <w:t>ation</w:t>
      </w:r>
      <w:r w:rsidR="00125926">
        <w:rPr>
          <w:lang w:val="en-US"/>
        </w:rPr>
        <w:t xml:space="preserve">. </w:t>
      </w:r>
      <w:r w:rsidR="00DF2260">
        <w:rPr>
          <w:lang w:val="en-US"/>
        </w:rPr>
        <w:t xml:space="preserve">The updated Procurement Schedule, version No. 8 from 31.12.2020 is provided </w:t>
      </w:r>
      <w:r w:rsidR="00DF2260" w:rsidRPr="00BA3081">
        <w:rPr>
          <w:lang w:val="en-US"/>
        </w:rPr>
        <w:t xml:space="preserve">in </w:t>
      </w:r>
      <w:r w:rsidR="00DF2260" w:rsidRPr="00DF2260">
        <w:rPr>
          <w:highlight w:val="yellow"/>
          <w:lang w:val="en-US"/>
        </w:rPr>
        <w:t xml:space="preserve">Annex </w:t>
      </w:r>
      <w:r w:rsidR="0007286C">
        <w:rPr>
          <w:highlight w:val="yellow"/>
          <w:lang w:val="en-US"/>
        </w:rPr>
        <w:t>1</w:t>
      </w:r>
      <w:r w:rsidR="00DF2260">
        <w:rPr>
          <w:lang w:val="en-US"/>
        </w:rPr>
        <w:t xml:space="preserve">. The latest updated Procurement Plan, version No. 8 </w:t>
      </w:r>
      <w:r w:rsidR="001E5FFC">
        <w:rPr>
          <w:lang w:val="en-US"/>
        </w:rPr>
        <w:t>was</w:t>
      </w:r>
      <w:r w:rsidR="00DF2260">
        <w:rPr>
          <w:lang w:val="en-US"/>
        </w:rPr>
        <w:t xml:space="preserve"> posted at ADB web site</w:t>
      </w:r>
      <w:r w:rsidR="001E5FFC" w:rsidRPr="001E5FFC">
        <w:rPr>
          <w:lang w:val="en-US"/>
        </w:rPr>
        <w:t xml:space="preserve"> </w:t>
      </w:r>
      <w:r w:rsidR="001E5FFC">
        <w:rPr>
          <w:lang w:val="en-US"/>
        </w:rPr>
        <w:t>on 03.12.2020</w:t>
      </w:r>
      <w:r w:rsidR="0007286C">
        <w:rPr>
          <w:lang w:val="en-US"/>
        </w:rPr>
        <w:t xml:space="preserve"> (please see Annex 2)</w:t>
      </w:r>
      <w:r w:rsidR="00DF2260">
        <w:rPr>
          <w:lang w:val="en-US"/>
        </w:rPr>
        <w:t xml:space="preserve">. </w:t>
      </w:r>
    </w:p>
    <w:p w:rsidR="00434D2E" w:rsidRDefault="00434D2E">
      <w:pPr>
        <w:pStyle w:val="NoSpacing1"/>
        <w:jc w:val="both"/>
        <w:rPr>
          <w:lang w:val="en-US"/>
        </w:rPr>
      </w:pPr>
    </w:p>
    <w:p w:rsidR="00DF2260" w:rsidRDefault="00DF2260">
      <w:pPr>
        <w:pStyle w:val="NoSpacing1"/>
        <w:jc w:val="both"/>
        <w:rPr>
          <w:lang w:val="en-US"/>
        </w:rPr>
      </w:pPr>
      <w:r>
        <w:rPr>
          <w:lang w:val="en-US"/>
        </w:rPr>
        <w:t>The current status of procurement packages is summarized in this table:</w:t>
      </w:r>
    </w:p>
    <w:p w:rsidR="00DF2260" w:rsidRDefault="00DF2260">
      <w:pPr>
        <w:pStyle w:val="NoSpacing1"/>
        <w:jc w:val="both"/>
        <w:rPr>
          <w:lang w:val="en-US"/>
        </w:rPr>
      </w:pPr>
    </w:p>
    <w:p w:rsidR="00DF2260" w:rsidRDefault="00DF2260">
      <w:pPr>
        <w:pStyle w:val="NoSpacing1"/>
        <w:jc w:val="both"/>
        <w:rPr>
          <w:lang w:val="en-US"/>
        </w:rPr>
      </w:pPr>
      <w:r w:rsidRPr="00DF2260">
        <w:rPr>
          <w:noProof/>
          <w:lang w:val="ru-RU" w:eastAsia="ru-RU"/>
        </w:rPr>
        <w:drawing>
          <wp:inline distT="0" distB="0" distL="0" distR="0">
            <wp:extent cx="6030595" cy="11642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1164269"/>
                    </a:xfrm>
                    <a:prstGeom prst="rect">
                      <a:avLst/>
                    </a:prstGeom>
                    <a:noFill/>
                    <a:ln>
                      <a:noFill/>
                    </a:ln>
                  </pic:spPr>
                </pic:pic>
              </a:graphicData>
            </a:graphic>
          </wp:inline>
        </w:drawing>
      </w:r>
    </w:p>
    <w:p w:rsidR="00DF2260" w:rsidRDefault="00DF2260">
      <w:pPr>
        <w:pStyle w:val="NoSpacing1"/>
        <w:jc w:val="both"/>
        <w:rPr>
          <w:lang w:val="en-US"/>
        </w:rPr>
      </w:pPr>
    </w:p>
    <w:p w:rsidR="002749E1" w:rsidRDefault="005F6E5C">
      <w:pPr>
        <w:pStyle w:val="NoSpacing1"/>
        <w:jc w:val="both"/>
        <w:rPr>
          <w:lang w:val="en-US"/>
        </w:rPr>
      </w:pPr>
      <w:r>
        <w:rPr>
          <w:lang w:val="en-US"/>
        </w:rPr>
        <w:t>As of 31 December 2020, 93% time lapsed against cumulative $33</w:t>
      </w:r>
      <w:r w:rsidR="005F72EA">
        <w:rPr>
          <w:lang w:val="en-US"/>
        </w:rPr>
        <w:t>.</w:t>
      </w:r>
      <w:r>
        <w:rPr>
          <w:lang w:val="en-US"/>
        </w:rPr>
        <w:t xml:space="preserve">51 million contract awarded </w:t>
      </w:r>
      <w:r w:rsidR="005F72EA">
        <w:rPr>
          <w:lang w:val="en-US"/>
        </w:rPr>
        <w:t xml:space="preserve">and $27.86 million disbursed. Compared to the </w:t>
      </w:r>
      <w:r w:rsidR="0010438B">
        <w:rPr>
          <w:lang w:val="en-US"/>
        </w:rPr>
        <w:t xml:space="preserve">updated </w:t>
      </w:r>
      <w:r w:rsidR="005F72EA">
        <w:rPr>
          <w:lang w:val="en-US"/>
        </w:rPr>
        <w:t xml:space="preserve">Procurement Plan </w:t>
      </w:r>
      <w:r w:rsidR="0010438B">
        <w:rPr>
          <w:lang w:val="en-US"/>
        </w:rPr>
        <w:t xml:space="preserve">(version No. 8) </w:t>
      </w:r>
      <w:r w:rsidR="005F72EA">
        <w:rPr>
          <w:lang w:val="en-US"/>
        </w:rPr>
        <w:t xml:space="preserve">52% of the contracts </w:t>
      </w:r>
      <w:r w:rsidR="0010438B">
        <w:rPr>
          <w:lang w:val="en-US"/>
        </w:rPr>
        <w:t xml:space="preserve">for </w:t>
      </w:r>
      <w:proofErr w:type="gramStart"/>
      <w:r w:rsidR="005F72EA">
        <w:rPr>
          <w:lang w:val="en-US"/>
        </w:rPr>
        <w:t>goods,</w:t>
      </w:r>
      <w:proofErr w:type="gramEnd"/>
      <w:r w:rsidR="005F72EA">
        <w:rPr>
          <w:lang w:val="en-US"/>
        </w:rPr>
        <w:t xml:space="preserve"> works and services have been awarded. The </w:t>
      </w:r>
      <w:r w:rsidR="00F90D68">
        <w:rPr>
          <w:lang w:val="en-US"/>
        </w:rPr>
        <w:t xml:space="preserve">following </w:t>
      </w:r>
      <w:r w:rsidR="005F72EA">
        <w:rPr>
          <w:lang w:val="en-US"/>
        </w:rPr>
        <w:t>packages are</w:t>
      </w:r>
      <w:r w:rsidR="00F90D68">
        <w:rPr>
          <w:lang w:val="en-US"/>
        </w:rPr>
        <w:t xml:space="preserve"> still in procurement stage</w:t>
      </w:r>
      <w:r w:rsidR="005F72EA">
        <w:rPr>
          <w:lang w:val="en-US"/>
        </w:rPr>
        <w:t xml:space="preserve">: Works: CW1- Landfill Construction and Dumpsite Closure </w:t>
      </w:r>
      <w:r w:rsidR="0010438B">
        <w:rPr>
          <w:lang w:val="en-US"/>
        </w:rPr>
        <w:t xml:space="preserve">($23.53 million) </w:t>
      </w:r>
      <w:r w:rsidR="005F72EA">
        <w:rPr>
          <w:lang w:val="en-US"/>
        </w:rPr>
        <w:t>and CW2-Transfer Station Rehabilitation</w:t>
      </w:r>
      <w:r w:rsidR="0010438B">
        <w:rPr>
          <w:lang w:val="en-US"/>
        </w:rPr>
        <w:t xml:space="preserve"> ($7.0 million)</w:t>
      </w:r>
      <w:r w:rsidR="005F72EA">
        <w:rPr>
          <w:lang w:val="en-US"/>
        </w:rPr>
        <w:t xml:space="preserve">; and </w:t>
      </w:r>
      <w:r w:rsidR="0010438B">
        <w:rPr>
          <w:lang w:val="en-US"/>
        </w:rPr>
        <w:t xml:space="preserve">not yet published to bid: </w:t>
      </w:r>
      <w:r w:rsidR="005F72EA">
        <w:rPr>
          <w:lang w:val="en-US"/>
        </w:rPr>
        <w:t>Goods: G1 – Landfill Equipment</w:t>
      </w:r>
      <w:r w:rsidR="0010438B">
        <w:rPr>
          <w:lang w:val="en-US"/>
        </w:rPr>
        <w:t xml:space="preserve"> ($194,400)</w:t>
      </w:r>
      <w:r w:rsidR="005F72EA">
        <w:rPr>
          <w:lang w:val="en-US"/>
        </w:rPr>
        <w:t xml:space="preserve">, lot 3 and 4 </w:t>
      </w:r>
      <w:r w:rsidR="0010438B">
        <w:rPr>
          <w:lang w:val="en-US"/>
        </w:rPr>
        <w:t>- S</w:t>
      </w:r>
      <w:r w:rsidR="005F72EA">
        <w:rPr>
          <w:lang w:val="en-US"/>
        </w:rPr>
        <w:t>upply of trailer and pickup.</w:t>
      </w:r>
      <w:r w:rsidR="0087652D">
        <w:rPr>
          <w:lang w:val="en-US"/>
        </w:rPr>
        <w:t xml:space="preserve"> </w:t>
      </w:r>
    </w:p>
    <w:p w:rsidR="002749E1" w:rsidRDefault="002749E1">
      <w:pPr>
        <w:pStyle w:val="NoSpacing1"/>
        <w:jc w:val="both"/>
        <w:rPr>
          <w:lang w:val="en-US"/>
        </w:rPr>
      </w:pPr>
    </w:p>
    <w:p w:rsidR="005F6E5C" w:rsidRDefault="00454A88">
      <w:pPr>
        <w:pStyle w:val="NoSpacing1"/>
        <w:jc w:val="both"/>
        <w:rPr>
          <w:lang w:val="en-US"/>
        </w:rPr>
      </w:pPr>
      <w:r>
        <w:rPr>
          <w:lang w:val="en-US"/>
        </w:rPr>
        <w:t>Refe</w:t>
      </w:r>
      <w:r w:rsidR="0010438B">
        <w:rPr>
          <w:lang w:val="en-US"/>
        </w:rPr>
        <w:t>rring to Aide Memoire of Loan (V</w:t>
      </w:r>
      <w:r>
        <w:rPr>
          <w:lang w:val="en-US"/>
        </w:rPr>
        <w:t xml:space="preserve">irtual) Review Mission conducted on 3-9 November 2020, </w:t>
      </w:r>
      <w:r w:rsidR="002749E1">
        <w:rPr>
          <w:lang w:val="en-US"/>
        </w:rPr>
        <w:t xml:space="preserve">in 2020 </w:t>
      </w:r>
      <w:r>
        <w:rPr>
          <w:lang w:val="en-US"/>
        </w:rPr>
        <w:t>the contract awa</w:t>
      </w:r>
      <w:r w:rsidR="002749E1">
        <w:rPr>
          <w:lang w:val="en-US"/>
        </w:rPr>
        <w:t>rds and dis</w:t>
      </w:r>
      <w:r>
        <w:rPr>
          <w:lang w:val="en-US"/>
        </w:rPr>
        <w:t>bu</w:t>
      </w:r>
      <w:r w:rsidR="002749E1">
        <w:rPr>
          <w:lang w:val="en-US"/>
        </w:rPr>
        <w:t>r</w:t>
      </w:r>
      <w:r>
        <w:rPr>
          <w:lang w:val="en-US"/>
        </w:rPr>
        <w:t xml:space="preserve">sements </w:t>
      </w:r>
      <w:r w:rsidR="002749E1">
        <w:rPr>
          <w:lang w:val="en-US"/>
        </w:rPr>
        <w:t xml:space="preserve">achievement were 67% and 58% respectively. To be mentioned </w:t>
      </w:r>
      <w:r w:rsidR="002749E1">
        <w:rPr>
          <w:lang w:val="en-US"/>
        </w:rPr>
        <w:lastRenderedPageBreak/>
        <w:t xml:space="preserve">that </w:t>
      </w:r>
      <w:r w:rsidR="002749E1" w:rsidRPr="002749E1">
        <w:rPr>
          <w:lang w:val="en-US"/>
        </w:rPr>
        <w:t xml:space="preserve">while </w:t>
      </w:r>
      <w:r w:rsidR="002749E1">
        <w:rPr>
          <w:lang w:val="en-US"/>
        </w:rPr>
        <w:t>6</w:t>
      </w:r>
      <w:r w:rsidR="002749E1" w:rsidRPr="002749E1">
        <w:rPr>
          <w:lang w:val="en-US"/>
        </w:rPr>
        <w:t xml:space="preserve"> goods contracts ($2</w:t>
      </w:r>
      <w:r w:rsidR="002749E1">
        <w:rPr>
          <w:lang w:val="en-US"/>
        </w:rPr>
        <w:t>6.77 million), 11</w:t>
      </w:r>
      <w:r w:rsidR="002749E1" w:rsidRPr="002749E1">
        <w:rPr>
          <w:lang w:val="en-US"/>
        </w:rPr>
        <w:t xml:space="preserve"> consultant services ($</w:t>
      </w:r>
      <w:r w:rsidR="002749E1">
        <w:rPr>
          <w:lang w:val="en-US"/>
        </w:rPr>
        <w:t>5</w:t>
      </w:r>
      <w:r w:rsidR="002749E1" w:rsidRPr="002749E1">
        <w:rPr>
          <w:lang w:val="en-US"/>
        </w:rPr>
        <w:t>.</w:t>
      </w:r>
      <w:r w:rsidR="002749E1">
        <w:rPr>
          <w:lang w:val="en-US"/>
        </w:rPr>
        <w:t xml:space="preserve">98 million) and 3 </w:t>
      </w:r>
      <w:r w:rsidR="002749E1" w:rsidRPr="002749E1">
        <w:rPr>
          <w:lang w:val="en-US"/>
        </w:rPr>
        <w:t>civil works packages ($3</w:t>
      </w:r>
      <w:r w:rsidR="002749E1">
        <w:rPr>
          <w:lang w:val="en-US"/>
        </w:rPr>
        <w:t>1</w:t>
      </w:r>
      <w:r w:rsidR="002749E1" w:rsidRPr="002749E1">
        <w:rPr>
          <w:lang w:val="en-US"/>
        </w:rPr>
        <w:t>.</w:t>
      </w:r>
      <w:r w:rsidR="002749E1">
        <w:rPr>
          <w:lang w:val="en-US"/>
        </w:rPr>
        <w:t>49</w:t>
      </w:r>
      <w:r w:rsidR="002749E1" w:rsidRPr="002749E1">
        <w:rPr>
          <w:lang w:val="en-US"/>
        </w:rPr>
        <w:t xml:space="preserve"> million) were envisioned in the procuremen</w:t>
      </w:r>
      <w:r w:rsidR="002749E1">
        <w:rPr>
          <w:lang w:val="en-US"/>
        </w:rPr>
        <w:t>t plan, all 5 goods contracts (excluding Contract G1, lot 3 and 4) and 11</w:t>
      </w:r>
      <w:r w:rsidR="002749E1" w:rsidRPr="002749E1">
        <w:rPr>
          <w:lang w:val="en-US"/>
        </w:rPr>
        <w:t xml:space="preserve"> consulting services contracts have been awarded to date. </w:t>
      </w:r>
      <w:r w:rsidR="002749E1">
        <w:rPr>
          <w:lang w:val="en-US"/>
        </w:rPr>
        <w:t xml:space="preserve">  </w:t>
      </w:r>
    </w:p>
    <w:p w:rsidR="005F6E5C" w:rsidRDefault="005F6E5C">
      <w:pPr>
        <w:pStyle w:val="NoSpacing1"/>
        <w:jc w:val="both"/>
        <w:rPr>
          <w:lang w:val="en-US"/>
        </w:rPr>
      </w:pPr>
    </w:p>
    <w:p w:rsidR="004E30FF" w:rsidRDefault="00125926">
      <w:pPr>
        <w:pStyle w:val="NoSpacing1"/>
        <w:jc w:val="both"/>
      </w:pPr>
      <w:r>
        <w:rPr>
          <w:lang w:val="en-US"/>
        </w:rPr>
        <w:t>During the reporting period u</w:t>
      </w:r>
      <w:r w:rsidR="004E30FF">
        <w:rPr>
          <w:lang w:val="en-US"/>
        </w:rPr>
        <w:t xml:space="preserve">nder this Task B, the Consultant has </w:t>
      </w:r>
      <w:r>
        <w:rPr>
          <w:lang w:val="en-US"/>
        </w:rPr>
        <w:t xml:space="preserve">performed the following activities and assistance </w:t>
      </w:r>
      <w:r w:rsidR="00DF2260">
        <w:rPr>
          <w:lang w:val="en-US"/>
        </w:rPr>
        <w:t>to PIU and the Client:</w:t>
      </w:r>
    </w:p>
    <w:p w:rsidR="004E30FF" w:rsidRPr="00125926" w:rsidRDefault="004E30FF">
      <w:pPr>
        <w:pStyle w:val="NoSpacing1"/>
        <w:rPr>
          <w:b/>
          <w:u w:val="single"/>
        </w:rPr>
      </w:pPr>
    </w:p>
    <w:p w:rsidR="004E30FF" w:rsidRDefault="004E30FF">
      <w:pPr>
        <w:pStyle w:val="NoSpacing1"/>
      </w:pPr>
      <w:r>
        <w:rPr>
          <w:b/>
          <w:u w:val="single"/>
          <w:lang w:val="en-US"/>
        </w:rPr>
        <w:t>GOODS packages:</w:t>
      </w:r>
    </w:p>
    <w:p w:rsidR="004E30FF" w:rsidRDefault="004E30FF">
      <w:pPr>
        <w:pStyle w:val="NoSpacing1"/>
        <w:rPr>
          <w:b/>
          <w:highlight w:val="yellow"/>
          <w:u w:val="single"/>
          <w:lang w:val="en-US"/>
        </w:rPr>
      </w:pPr>
    </w:p>
    <w:p w:rsidR="004E30FF" w:rsidRDefault="004E30FF">
      <w:pPr>
        <w:pStyle w:val="NoSpacing1"/>
      </w:pPr>
      <w:r>
        <w:rPr>
          <w:rStyle w:val="Strong1"/>
        </w:rPr>
        <w:t>G1 / Landfill Equipment &amp; Machinery</w:t>
      </w:r>
    </w:p>
    <w:p w:rsidR="00F72340" w:rsidRDefault="00C53D6E">
      <w:pPr>
        <w:spacing w:line="240" w:lineRule="auto"/>
        <w:rPr>
          <w:lang w:eastAsia="de-DE"/>
        </w:rPr>
      </w:pPr>
      <w:r>
        <w:rPr>
          <w:lang w:eastAsia="de-DE"/>
        </w:rPr>
        <w:t xml:space="preserve">After decision of the Tender Commission to award the contract to THG </w:t>
      </w:r>
      <w:proofErr w:type="spellStart"/>
      <w:r>
        <w:rPr>
          <w:lang w:eastAsia="de-DE"/>
        </w:rPr>
        <w:t>Technik</w:t>
      </w:r>
      <w:proofErr w:type="spellEnd"/>
      <w:r>
        <w:rPr>
          <w:lang w:eastAsia="de-DE"/>
        </w:rPr>
        <w:t xml:space="preserve"> </w:t>
      </w:r>
      <w:proofErr w:type="spellStart"/>
      <w:r>
        <w:rPr>
          <w:lang w:eastAsia="de-DE"/>
        </w:rPr>
        <w:t>Handels</w:t>
      </w:r>
      <w:proofErr w:type="spellEnd"/>
      <w:r>
        <w:rPr>
          <w:lang w:eastAsia="de-DE"/>
        </w:rPr>
        <w:t xml:space="preserve"> </w:t>
      </w:r>
      <w:proofErr w:type="spellStart"/>
      <w:r>
        <w:rPr>
          <w:lang w:eastAsia="de-DE"/>
        </w:rPr>
        <w:t>Gesellschaft</w:t>
      </w:r>
      <w:proofErr w:type="spellEnd"/>
      <w:r>
        <w:rPr>
          <w:lang w:eastAsia="de-DE"/>
        </w:rPr>
        <w:t xml:space="preserve"> AG in association with Zeppelin International AG </w:t>
      </w:r>
      <w:r w:rsidR="00784211">
        <w:rPr>
          <w:lang w:eastAsia="de-DE"/>
        </w:rPr>
        <w:t xml:space="preserve">(Switzerland) </w:t>
      </w:r>
      <w:r>
        <w:rPr>
          <w:lang w:eastAsia="de-DE"/>
        </w:rPr>
        <w:t xml:space="preserve">under Lot 1: Supply of </w:t>
      </w:r>
      <w:proofErr w:type="spellStart"/>
      <w:r w:rsidR="00D30408" w:rsidRPr="00D30408">
        <w:rPr>
          <w:lang w:eastAsia="de-DE"/>
        </w:rPr>
        <w:t>Сrаwlеr</w:t>
      </w:r>
      <w:proofErr w:type="spellEnd"/>
      <w:r w:rsidR="00D30408" w:rsidRPr="00D30408">
        <w:rPr>
          <w:lang w:eastAsia="de-DE"/>
        </w:rPr>
        <w:t xml:space="preserve"> Excavator, Bulldozer, Wheel Loader</w:t>
      </w:r>
      <w:r>
        <w:rPr>
          <w:lang w:eastAsia="de-DE"/>
        </w:rPr>
        <w:t xml:space="preserve"> and Lot 2: Supply of Landfill Waste Compactor </w:t>
      </w:r>
      <w:r w:rsidR="00D30408">
        <w:rPr>
          <w:lang w:eastAsia="de-DE"/>
        </w:rPr>
        <w:t xml:space="preserve">taken on the meeting from </w:t>
      </w:r>
      <w:r>
        <w:rPr>
          <w:lang w:eastAsia="de-DE"/>
        </w:rPr>
        <w:t xml:space="preserve">10 December 2019, the BER was approved by ADB on 28 January 2020. The total contract price is $3,625,000 (Lot 1 - $1,977,422 and Lot 2 - $1,582,934). </w:t>
      </w:r>
      <w:r w:rsidR="00D30408">
        <w:rPr>
          <w:lang w:eastAsia="de-DE"/>
        </w:rPr>
        <w:t xml:space="preserve">The Contract for Lot 1 was signed on 28 February 2020 and for Lot 2 on </w:t>
      </w:r>
      <w:r w:rsidR="00792B09">
        <w:rPr>
          <w:lang w:eastAsia="de-DE"/>
        </w:rPr>
        <w:t xml:space="preserve">22 May 2020. </w:t>
      </w:r>
      <w:r w:rsidR="00F72340">
        <w:rPr>
          <w:lang w:eastAsia="de-DE"/>
        </w:rPr>
        <w:t>The revised Goods delivery schedule (</w:t>
      </w:r>
      <w:r w:rsidR="00F72340" w:rsidRPr="00F72340">
        <w:rPr>
          <w:lang w:eastAsia="de-DE"/>
        </w:rPr>
        <w:t>Assembling of the goods at the point of delivery and training</w:t>
      </w:r>
      <w:r w:rsidR="00F72340">
        <w:rPr>
          <w:lang w:eastAsia="de-DE"/>
        </w:rPr>
        <w:t xml:space="preserve">) is for Lot 1 - </w:t>
      </w:r>
      <w:r w:rsidR="00F72340" w:rsidRPr="00F72340">
        <w:rPr>
          <w:lang w:eastAsia="de-DE"/>
        </w:rPr>
        <w:t>March 2021</w:t>
      </w:r>
      <w:r w:rsidR="00F72340">
        <w:rPr>
          <w:lang w:eastAsia="de-DE"/>
        </w:rPr>
        <w:t xml:space="preserve"> and for Lot 2 – April 2021.</w:t>
      </w:r>
      <w:r w:rsidR="00F51020">
        <w:rPr>
          <w:lang w:eastAsia="de-DE"/>
        </w:rPr>
        <w:t xml:space="preserve"> The contract is on-going</w:t>
      </w:r>
      <w:r w:rsidR="003441F3">
        <w:rPr>
          <w:lang w:eastAsia="de-DE"/>
        </w:rPr>
        <w:t xml:space="preserve"> and completion is scheduled </w:t>
      </w:r>
      <w:r w:rsidR="001E5FFC">
        <w:rPr>
          <w:lang w:eastAsia="de-DE"/>
        </w:rPr>
        <w:t xml:space="preserve">by 30 April </w:t>
      </w:r>
      <w:r w:rsidR="003441F3">
        <w:rPr>
          <w:lang w:eastAsia="de-DE"/>
        </w:rPr>
        <w:t>2021</w:t>
      </w:r>
      <w:r w:rsidR="00F51020">
        <w:rPr>
          <w:lang w:eastAsia="de-DE"/>
        </w:rPr>
        <w:t>.</w:t>
      </w:r>
    </w:p>
    <w:p w:rsidR="00D30408" w:rsidRDefault="00D30408">
      <w:pPr>
        <w:spacing w:line="240" w:lineRule="auto"/>
        <w:rPr>
          <w:lang w:eastAsia="de-DE"/>
        </w:rPr>
      </w:pPr>
      <w:r>
        <w:rPr>
          <w:lang w:eastAsia="de-DE"/>
        </w:rPr>
        <w:t>The Consultant activities performe</w:t>
      </w:r>
      <w:r w:rsidR="003441F3">
        <w:rPr>
          <w:lang w:eastAsia="de-DE"/>
        </w:rPr>
        <w:t>d</w:t>
      </w:r>
      <w:r w:rsidR="00F51020">
        <w:rPr>
          <w:lang w:eastAsia="de-DE"/>
        </w:rPr>
        <w:t xml:space="preserve"> for</w:t>
      </w:r>
      <w:r>
        <w:rPr>
          <w:lang w:eastAsia="de-DE"/>
        </w:rPr>
        <w:t xml:space="preserve"> this </w:t>
      </w:r>
      <w:r w:rsidR="00F51020">
        <w:rPr>
          <w:lang w:eastAsia="de-DE"/>
        </w:rPr>
        <w:t>package</w:t>
      </w:r>
      <w:r>
        <w:rPr>
          <w:lang w:eastAsia="de-DE"/>
        </w:rPr>
        <w:t xml:space="preserve">: </w:t>
      </w:r>
    </w:p>
    <w:p w:rsidR="00C53D6E" w:rsidRDefault="00D30408" w:rsidP="00D30408">
      <w:pPr>
        <w:pStyle w:val="af9"/>
        <w:numPr>
          <w:ilvl w:val="0"/>
          <w:numId w:val="6"/>
        </w:numPr>
        <w:spacing w:line="240" w:lineRule="auto"/>
        <w:rPr>
          <w:lang w:eastAsia="de-DE"/>
        </w:rPr>
      </w:pPr>
      <w:r>
        <w:rPr>
          <w:lang w:eastAsia="de-DE"/>
        </w:rPr>
        <w:t xml:space="preserve">Preparation </w:t>
      </w:r>
      <w:r w:rsidR="00F6199E">
        <w:rPr>
          <w:lang w:eastAsia="de-DE"/>
        </w:rPr>
        <w:t xml:space="preserve">and revision </w:t>
      </w:r>
      <w:r>
        <w:rPr>
          <w:lang w:eastAsia="de-DE"/>
        </w:rPr>
        <w:t>of Bid Evaluation Report</w:t>
      </w:r>
    </w:p>
    <w:p w:rsidR="00D30408" w:rsidRDefault="00D30408" w:rsidP="00D30408">
      <w:pPr>
        <w:pStyle w:val="af9"/>
        <w:numPr>
          <w:ilvl w:val="0"/>
          <w:numId w:val="6"/>
        </w:numPr>
        <w:spacing w:line="240" w:lineRule="auto"/>
        <w:rPr>
          <w:lang w:eastAsia="de-DE"/>
        </w:rPr>
      </w:pPr>
      <w:r>
        <w:rPr>
          <w:lang w:eastAsia="de-DE"/>
        </w:rPr>
        <w:t>Drafting Minutes of Meeting of the Tender Commission</w:t>
      </w:r>
    </w:p>
    <w:p w:rsidR="00D30408" w:rsidRDefault="00D30408" w:rsidP="00D30408">
      <w:pPr>
        <w:pStyle w:val="af9"/>
        <w:numPr>
          <w:ilvl w:val="0"/>
          <w:numId w:val="6"/>
        </w:numPr>
        <w:spacing w:line="240" w:lineRule="auto"/>
        <w:rPr>
          <w:lang w:eastAsia="de-DE"/>
        </w:rPr>
      </w:pPr>
      <w:r>
        <w:rPr>
          <w:lang w:eastAsia="de-DE"/>
        </w:rPr>
        <w:t>Assistance to PIU in communication with ADB</w:t>
      </w:r>
      <w:r w:rsidR="00F6199E">
        <w:rPr>
          <w:lang w:eastAsia="de-DE"/>
        </w:rPr>
        <w:t xml:space="preserve"> and local authorities</w:t>
      </w:r>
    </w:p>
    <w:p w:rsidR="00D30408" w:rsidRDefault="00D30408" w:rsidP="00D30408">
      <w:pPr>
        <w:pStyle w:val="af9"/>
        <w:numPr>
          <w:ilvl w:val="0"/>
          <w:numId w:val="6"/>
        </w:numPr>
        <w:spacing w:line="240" w:lineRule="auto"/>
        <w:rPr>
          <w:lang w:eastAsia="de-DE"/>
        </w:rPr>
      </w:pPr>
      <w:r>
        <w:rPr>
          <w:lang w:eastAsia="de-DE"/>
        </w:rPr>
        <w:t>Drafting the Contracts and arrangement of Contract negotiations and signing</w:t>
      </w:r>
    </w:p>
    <w:p w:rsidR="00792B09" w:rsidRDefault="00792B09" w:rsidP="00792B09">
      <w:pPr>
        <w:pStyle w:val="af9"/>
        <w:numPr>
          <w:ilvl w:val="0"/>
          <w:numId w:val="6"/>
        </w:numPr>
        <w:spacing w:line="240" w:lineRule="auto"/>
        <w:rPr>
          <w:lang w:eastAsia="de-DE"/>
        </w:rPr>
      </w:pPr>
      <w:r>
        <w:rPr>
          <w:lang w:eastAsia="de-DE"/>
        </w:rPr>
        <w:t xml:space="preserve">Drafting the Amendment No. 1 and 2 to the Contracts Lot 1 and Lot 2 (change of excavator model and delivery schedules due to restriction and production limits </w:t>
      </w:r>
      <w:r w:rsidR="007740ED">
        <w:rPr>
          <w:lang w:eastAsia="de-DE"/>
        </w:rPr>
        <w:t xml:space="preserve">in the CAT manufacturers </w:t>
      </w:r>
      <w:r>
        <w:rPr>
          <w:lang w:eastAsia="de-DE"/>
        </w:rPr>
        <w:t>caused by COVID-19</w:t>
      </w:r>
    </w:p>
    <w:p w:rsidR="004E316E" w:rsidRDefault="004E316E" w:rsidP="00792B09">
      <w:pPr>
        <w:pStyle w:val="af9"/>
        <w:numPr>
          <w:ilvl w:val="0"/>
          <w:numId w:val="6"/>
        </w:numPr>
        <w:spacing w:line="240" w:lineRule="auto"/>
        <w:rPr>
          <w:lang w:eastAsia="de-DE"/>
        </w:rPr>
      </w:pPr>
      <w:r>
        <w:rPr>
          <w:lang w:eastAsia="de-DE"/>
        </w:rPr>
        <w:t xml:space="preserve">Support to IA in communication </w:t>
      </w:r>
      <w:r w:rsidR="000560FD">
        <w:rPr>
          <w:lang w:eastAsia="de-DE"/>
        </w:rPr>
        <w:t xml:space="preserve">with MIFT on </w:t>
      </w:r>
      <w:r>
        <w:rPr>
          <w:lang w:eastAsia="de-DE"/>
        </w:rPr>
        <w:t xml:space="preserve">request for review and registration </w:t>
      </w:r>
      <w:r w:rsidR="000560FD">
        <w:rPr>
          <w:lang w:eastAsia="de-DE"/>
        </w:rPr>
        <w:t>of contract/amendments</w:t>
      </w:r>
    </w:p>
    <w:p w:rsidR="00D30408" w:rsidRDefault="00D30408" w:rsidP="00D30408">
      <w:pPr>
        <w:spacing w:line="240" w:lineRule="auto"/>
        <w:rPr>
          <w:lang w:eastAsia="de-DE"/>
        </w:rPr>
      </w:pPr>
    </w:p>
    <w:p w:rsidR="00C53D6E" w:rsidRDefault="00F6199E" w:rsidP="00F6199E">
      <w:pPr>
        <w:pStyle w:val="NoSpacing1"/>
        <w:rPr>
          <w:lang w:eastAsia="de-DE"/>
        </w:rPr>
      </w:pPr>
      <w:r>
        <w:rPr>
          <w:rStyle w:val="Strong1"/>
        </w:rPr>
        <w:t xml:space="preserve">G6 / </w:t>
      </w:r>
      <w:r w:rsidRPr="00F6199E">
        <w:rPr>
          <w:rStyle w:val="Strong1"/>
        </w:rPr>
        <w:t>Waste Collection Trucks</w:t>
      </w:r>
      <w:r>
        <w:rPr>
          <w:rStyle w:val="Strong1"/>
        </w:rPr>
        <w:t xml:space="preserve"> (additional 59 units)</w:t>
      </w:r>
    </w:p>
    <w:p w:rsidR="00274BBB" w:rsidRDefault="00F6199E">
      <w:pPr>
        <w:spacing w:line="240" w:lineRule="auto"/>
        <w:rPr>
          <w:lang w:val="en-GB" w:eastAsia="de-DE"/>
        </w:rPr>
      </w:pPr>
      <w:r w:rsidRPr="00F6199E">
        <w:rPr>
          <w:lang w:val="en-GB" w:eastAsia="de-DE"/>
        </w:rPr>
        <w:t>After decision of the Tender Commission to award the contract to</w:t>
      </w:r>
      <w:r>
        <w:rPr>
          <w:lang w:val="en-GB" w:eastAsia="de-DE"/>
        </w:rPr>
        <w:t xml:space="preserve"> </w:t>
      </w:r>
      <w:proofErr w:type="spellStart"/>
      <w:r w:rsidRPr="00F6199E">
        <w:rPr>
          <w:lang w:val="en-GB" w:eastAsia="de-DE"/>
        </w:rPr>
        <w:t>Posco</w:t>
      </w:r>
      <w:proofErr w:type="spellEnd"/>
      <w:r w:rsidRPr="00F6199E">
        <w:rPr>
          <w:lang w:val="en-GB" w:eastAsia="de-DE"/>
        </w:rPr>
        <w:t xml:space="preserve"> International Corporation</w:t>
      </w:r>
      <w:r>
        <w:rPr>
          <w:lang w:val="en-GB" w:eastAsia="de-DE"/>
        </w:rPr>
        <w:t xml:space="preserve"> (South Korea) for supply of 59 waste collection trucks taken on the meeting from 7 January 2020, the BER was approved by ADB on 5 February 2020. The contract price is $4,189,000. The Contract was signed on 28 February 2020. The final commissioning certificate was signed on 30 November 2020 and the final payment to the Supplier was done on 1 December 2020. </w:t>
      </w:r>
      <w:r w:rsidR="00F51020">
        <w:rPr>
          <w:lang w:val="en-GB" w:eastAsia="de-DE"/>
        </w:rPr>
        <w:t>The contract is completed.</w:t>
      </w:r>
    </w:p>
    <w:p w:rsidR="00F6199E" w:rsidRDefault="00F6199E" w:rsidP="00F6199E">
      <w:pPr>
        <w:spacing w:line="240" w:lineRule="auto"/>
        <w:rPr>
          <w:lang w:eastAsia="de-DE"/>
        </w:rPr>
      </w:pPr>
      <w:r>
        <w:rPr>
          <w:lang w:eastAsia="de-DE"/>
        </w:rPr>
        <w:t xml:space="preserve">The Consultant activities performed </w:t>
      </w:r>
      <w:r w:rsidR="00F51020">
        <w:rPr>
          <w:lang w:eastAsia="de-DE"/>
        </w:rPr>
        <w:t>for this package</w:t>
      </w:r>
      <w:r>
        <w:rPr>
          <w:lang w:eastAsia="de-DE"/>
        </w:rPr>
        <w:t xml:space="preserve">: </w:t>
      </w:r>
    </w:p>
    <w:p w:rsidR="00F6199E" w:rsidRDefault="00F6199E" w:rsidP="00F6199E">
      <w:pPr>
        <w:pStyle w:val="af9"/>
        <w:numPr>
          <w:ilvl w:val="0"/>
          <w:numId w:val="6"/>
        </w:numPr>
        <w:spacing w:line="240" w:lineRule="auto"/>
        <w:rPr>
          <w:lang w:eastAsia="de-DE"/>
        </w:rPr>
      </w:pPr>
      <w:r>
        <w:rPr>
          <w:lang w:eastAsia="de-DE"/>
        </w:rPr>
        <w:t>Preparation and revision of Bid Evaluation Report</w:t>
      </w:r>
    </w:p>
    <w:p w:rsidR="00F6199E" w:rsidRDefault="00F6199E" w:rsidP="00F6199E">
      <w:pPr>
        <w:pStyle w:val="af9"/>
        <w:numPr>
          <w:ilvl w:val="0"/>
          <w:numId w:val="6"/>
        </w:numPr>
        <w:spacing w:line="240" w:lineRule="auto"/>
        <w:rPr>
          <w:lang w:eastAsia="de-DE"/>
        </w:rPr>
      </w:pPr>
      <w:r>
        <w:rPr>
          <w:lang w:eastAsia="de-DE"/>
        </w:rPr>
        <w:t>Drafting Minutes of Meeting of the Tender Commission</w:t>
      </w:r>
    </w:p>
    <w:p w:rsidR="00F6199E" w:rsidRDefault="00F6199E" w:rsidP="00F6199E">
      <w:pPr>
        <w:pStyle w:val="af9"/>
        <w:numPr>
          <w:ilvl w:val="0"/>
          <w:numId w:val="6"/>
        </w:numPr>
        <w:spacing w:line="240" w:lineRule="auto"/>
        <w:rPr>
          <w:lang w:eastAsia="de-DE"/>
        </w:rPr>
      </w:pPr>
      <w:r>
        <w:rPr>
          <w:lang w:eastAsia="de-DE"/>
        </w:rPr>
        <w:t>Assistance to PIU in communication with ADB and local authorities</w:t>
      </w:r>
    </w:p>
    <w:p w:rsidR="00F6199E" w:rsidRDefault="00F6199E" w:rsidP="00F6199E">
      <w:pPr>
        <w:pStyle w:val="af9"/>
        <w:numPr>
          <w:ilvl w:val="0"/>
          <w:numId w:val="6"/>
        </w:numPr>
        <w:spacing w:line="240" w:lineRule="auto"/>
        <w:rPr>
          <w:lang w:eastAsia="de-DE"/>
        </w:rPr>
      </w:pPr>
      <w:r>
        <w:rPr>
          <w:lang w:eastAsia="de-DE"/>
        </w:rPr>
        <w:t>Drafting the Contracts and arrangement of Contract negotiations and signing</w:t>
      </w:r>
    </w:p>
    <w:p w:rsidR="000560FD" w:rsidRDefault="000560FD" w:rsidP="000560FD">
      <w:pPr>
        <w:pStyle w:val="af9"/>
        <w:numPr>
          <w:ilvl w:val="0"/>
          <w:numId w:val="6"/>
        </w:numPr>
        <w:spacing w:line="240" w:lineRule="auto"/>
        <w:rPr>
          <w:lang w:eastAsia="de-DE"/>
        </w:rPr>
      </w:pPr>
      <w:r>
        <w:rPr>
          <w:lang w:eastAsia="de-DE"/>
        </w:rPr>
        <w:t>Support to IA in communication with MIFT on request for review and registration of contract</w:t>
      </w:r>
    </w:p>
    <w:p w:rsidR="00F6199E" w:rsidRPr="00F6199E" w:rsidRDefault="00F6199E" w:rsidP="00F6199E">
      <w:pPr>
        <w:spacing w:line="240" w:lineRule="auto"/>
        <w:rPr>
          <w:lang w:eastAsia="de-DE"/>
        </w:rPr>
      </w:pPr>
    </w:p>
    <w:p w:rsidR="00274BBB" w:rsidRDefault="00274BBB">
      <w:pPr>
        <w:spacing w:line="240" w:lineRule="auto"/>
        <w:rPr>
          <w:lang w:eastAsia="de-DE"/>
        </w:rPr>
      </w:pPr>
    </w:p>
    <w:p w:rsidR="004E30FF" w:rsidRDefault="004E30FF">
      <w:pPr>
        <w:pStyle w:val="NoSpacing1"/>
      </w:pPr>
      <w:r>
        <w:rPr>
          <w:b/>
          <w:u w:val="single"/>
          <w:lang w:val="en-US"/>
        </w:rPr>
        <w:t>WORKS packages:</w:t>
      </w:r>
    </w:p>
    <w:p w:rsidR="004E30FF" w:rsidRDefault="004E30FF">
      <w:pPr>
        <w:pStyle w:val="NoSpacing1"/>
        <w:rPr>
          <w:highlight w:val="yellow"/>
        </w:rPr>
      </w:pPr>
    </w:p>
    <w:p w:rsidR="004E30FF" w:rsidRDefault="004E30FF">
      <w:pPr>
        <w:pStyle w:val="NoSpacing1"/>
      </w:pPr>
      <w:r>
        <w:rPr>
          <w:rStyle w:val="Strong1"/>
        </w:rPr>
        <w:t>CW1 – CW3 / Sanitary Landfill Establishment and Dumpsite Closure</w:t>
      </w:r>
    </w:p>
    <w:p w:rsidR="00CD70E1" w:rsidRDefault="008079A6">
      <w:pPr>
        <w:pStyle w:val="NoSpacing1"/>
        <w:jc w:val="both"/>
        <w:rPr>
          <w:rStyle w:val="Strong1"/>
          <w:b w:val="0"/>
        </w:rPr>
      </w:pPr>
      <w:r w:rsidRPr="008079A6">
        <w:rPr>
          <w:rStyle w:val="Strong1"/>
          <w:b w:val="0"/>
        </w:rPr>
        <w:t xml:space="preserve">IFB was posted on 15 October 2019 </w:t>
      </w:r>
      <w:r>
        <w:rPr>
          <w:rStyle w:val="Strong1"/>
          <w:b w:val="0"/>
        </w:rPr>
        <w:t xml:space="preserve">and </w:t>
      </w:r>
      <w:r w:rsidRPr="008079A6">
        <w:rPr>
          <w:rStyle w:val="Strong1"/>
          <w:b w:val="0"/>
        </w:rPr>
        <w:t xml:space="preserve">on 26 November 2019, bid opening was conducted. </w:t>
      </w:r>
      <w:r>
        <w:rPr>
          <w:rStyle w:val="Strong1"/>
          <w:b w:val="0"/>
        </w:rPr>
        <w:t xml:space="preserve">Two bids have been received to the deadline. </w:t>
      </w:r>
      <w:r w:rsidR="001E5FFC">
        <w:rPr>
          <w:rStyle w:val="Strong1"/>
          <w:b w:val="0"/>
        </w:rPr>
        <w:t xml:space="preserve">The contract award under this package is still pending. </w:t>
      </w:r>
      <w:r w:rsidR="001E5FFC" w:rsidRPr="001E5FFC">
        <w:rPr>
          <w:rStyle w:val="Strong1"/>
          <w:b w:val="0"/>
        </w:rPr>
        <w:t>After receiving ADB’s comments</w:t>
      </w:r>
      <w:r w:rsidR="00BF6D18">
        <w:rPr>
          <w:rStyle w:val="Strong1"/>
          <w:b w:val="0"/>
        </w:rPr>
        <w:t xml:space="preserve"> on 9 July 2020</w:t>
      </w:r>
      <w:r w:rsidR="001E5FFC" w:rsidRPr="001E5FFC">
        <w:rPr>
          <w:rStyle w:val="Strong1"/>
          <w:b w:val="0"/>
        </w:rPr>
        <w:t xml:space="preserve">, the revised BER was submitted </w:t>
      </w:r>
      <w:r w:rsidR="00BF6D18">
        <w:rPr>
          <w:rStyle w:val="Strong1"/>
          <w:b w:val="0"/>
        </w:rPr>
        <w:t xml:space="preserve">to ADB </w:t>
      </w:r>
      <w:r w:rsidR="001E5FFC" w:rsidRPr="001E5FFC">
        <w:rPr>
          <w:rStyle w:val="Strong1"/>
          <w:b w:val="0"/>
        </w:rPr>
        <w:t>on 15 September 2020 proposing to award the contract to the noncompliant bidder</w:t>
      </w:r>
      <w:r w:rsidR="00BF6D18">
        <w:rPr>
          <w:rStyle w:val="Strong1"/>
          <w:b w:val="0"/>
        </w:rPr>
        <w:t xml:space="preserve"> – JV </w:t>
      </w:r>
      <w:r w:rsidR="00BF6D18" w:rsidRPr="00BF6D18">
        <w:rPr>
          <w:rStyle w:val="Strong1"/>
          <w:b w:val="0"/>
        </w:rPr>
        <w:t>«</w:t>
      </w:r>
      <w:proofErr w:type="spellStart"/>
      <w:r w:rsidR="00BF6D18" w:rsidRPr="00BF6D18">
        <w:rPr>
          <w:rStyle w:val="Strong1"/>
          <w:b w:val="0"/>
        </w:rPr>
        <w:t>Go’ksin</w:t>
      </w:r>
      <w:proofErr w:type="spellEnd"/>
      <w:r w:rsidR="00BF6D18" w:rsidRPr="00BF6D18">
        <w:rPr>
          <w:rStyle w:val="Strong1"/>
          <w:b w:val="0"/>
        </w:rPr>
        <w:t xml:space="preserve"> </w:t>
      </w:r>
      <w:proofErr w:type="spellStart"/>
      <w:r w:rsidR="00BF6D18" w:rsidRPr="00BF6D18">
        <w:rPr>
          <w:rStyle w:val="Strong1"/>
          <w:b w:val="0"/>
        </w:rPr>
        <w:t>Insaat</w:t>
      </w:r>
      <w:proofErr w:type="spellEnd"/>
      <w:r w:rsidR="00BF6D18" w:rsidRPr="00BF6D18">
        <w:rPr>
          <w:rStyle w:val="Strong1"/>
          <w:b w:val="0"/>
        </w:rPr>
        <w:t xml:space="preserve"> </w:t>
      </w:r>
      <w:r w:rsidR="00BF6D18">
        <w:rPr>
          <w:rStyle w:val="Strong1"/>
          <w:b w:val="0"/>
        </w:rPr>
        <w:t xml:space="preserve">and </w:t>
      </w:r>
      <w:proofErr w:type="spellStart"/>
      <w:r w:rsidR="00BF6D18" w:rsidRPr="00BF6D18">
        <w:rPr>
          <w:rStyle w:val="Strong1"/>
          <w:b w:val="0"/>
        </w:rPr>
        <w:t>Hayat</w:t>
      </w:r>
      <w:proofErr w:type="spellEnd"/>
      <w:r w:rsidR="00BF6D18" w:rsidRPr="00BF6D18">
        <w:rPr>
          <w:rStyle w:val="Strong1"/>
          <w:b w:val="0"/>
        </w:rPr>
        <w:t xml:space="preserve"> Group</w:t>
      </w:r>
      <w:r w:rsidR="00BF6D18">
        <w:rPr>
          <w:rStyle w:val="Strong1"/>
          <w:b w:val="0"/>
        </w:rPr>
        <w:t xml:space="preserve"> LLC</w:t>
      </w:r>
      <w:r w:rsidR="00BF6D18" w:rsidRPr="00BF6D18">
        <w:rPr>
          <w:rStyle w:val="Strong1"/>
          <w:b w:val="0"/>
        </w:rPr>
        <w:t>»</w:t>
      </w:r>
      <w:r w:rsidR="00BF6D18">
        <w:rPr>
          <w:rStyle w:val="Strong1"/>
          <w:b w:val="0"/>
        </w:rPr>
        <w:t xml:space="preserve"> (Turkey and Azerbaijan)</w:t>
      </w:r>
      <w:r w:rsidR="001E5FFC" w:rsidRPr="001E5FFC">
        <w:rPr>
          <w:rStyle w:val="Strong1"/>
          <w:b w:val="0"/>
        </w:rPr>
        <w:t xml:space="preserve">. On 30 September, ADB sent objection letter to the revised BER. Maxsustrans advised the </w:t>
      </w:r>
      <w:r w:rsidR="00BF6D18">
        <w:rPr>
          <w:rStyle w:val="Strong1"/>
          <w:b w:val="0"/>
        </w:rPr>
        <w:t xml:space="preserve">Tashkent Municipality’s </w:t>
      </w:r>
      <w:r w:rsidR="001E5FFC" w:rsidRPr="001E5FFC">
        <w:rPr>
          <w:rStyle w:val="Strong1"/>
          <w:b w:val="0"/>
        </w:rPr>
        <w:t xml:space="preserve">Tender Committee </w:t>
      </w:r>
      <w:r w:rsidR="00BF6D18">
        <w:rPr>
          <w:rStyle w:val="Strong1"/>
          <w:b w:val="0"/>
        </w:rPr>
        <w:t xml:space="preserve">to </w:t>
      </w:r>
      <w:r w:rsidR="001E5FFC" w:rsidRPr="001E5FFC">
        <w:rPr>
          <w:rStyle w:val="Strong1"/>
          <w:b w:val="0"/>
        </w:rPr>
        <w:t>review</w:t>
      </w:r>
      <w:r w:rsidR="00BF6D18">
        <w:rPr>
          <w:rStyle w:val="Strong1"/>
          <w:b w:val="0"/>
        </w:rPr>
        <w:t xml:space="preserve"> the bid proposals and</w:t>
      </w:r>
      <w:r w:rsidR="001E5FFC" w:rsidRPr="001E5FFC">
        <w:rPr>
          <w:rStyle w:val="Strong1"/>
          <w:b w:val="0"/>
        </w:rPr>
        <w:t xml:space="preserve"> to find justifications to justify a request for rebidding.</w:t>
      </w:r>
      <w:r>
        <w:rPr>
          <w:rStyle w:val="Strong1"/>
          <w:b w:val="0"/>
        </w:rPr>
        <w:t xml:space="preserve"> </w:t>
      </w:r>
    </w:p>
    <w:p w:rsidR="008079A6" w:rsidRDefault="008079A6">
      <w:pPr>
        <w:pStyle w:val="NoSpacing1"/>
        <w:jc w:val="both"/>
        <w:rPr>
          <w:rStyle w:val="Strong1"/>
          <w:b w:val="0"/>
        </w:rPr>
      </w:pPr>
    </w:p>
    <w:p w:rsidR="008079A6" w:rsidRDefault="008079A6">
      <w:pPr>
        <w:pStyle w:val="NoSpacing1"/>
        <w:jc w:val="both"/>
        <w:rPr>
          <w:rStyle w:val="Strong1"/>
          <w:b w:val="0"/>
        </w:rPr>
      </w:pPr>
      <w:r>
        <w:rPr>
          <w:rStyle w:val="Strong1"/>
          <w:b w:val="0"/>
        </w:rPr>
        <w:lastRenderedPageBreak/>
        <w:t xml:space="preserve">On the meeting from 24 November 2020, the Tender Committee has determined the following </w:t>
      </w:r>
      <w:r w:rsidR="00981BD1">
        <w:rPr>
          <w:rStyle w:val="Strong1"/>
          <w:b w:val="0"/>
        </w:rPr>
        <w:t xml:space="preserve">two main </w:t>
      </w:r>
      <w:r>
        <w:rPr>
          <w:rStyle w:val="Strong1"/>
          <w:b w:val="0"/>
        </w:rPr>
        <w:t>justifications for request for rebidding:</w:t>
      </w:r>
    </w:p>
    <w:p w:rsidR="008079A6" w:rsidRDefault="008079A6">
      <w:pPr>
        <w:pStyle w:val="NoSpacing1"/>
        <w:jc w:val="both"/>
        <w:rPr>
          <w:rStyle w:val="Strong1"/>
          <w:b w:val="0"/>
        </w:rPr>
      </w:pPr>
    </w:p>
    <w:p w:rsidR="003C2D46" w:rsidRDefault="003C2D46" w:rsidP="003C2D46">
      <w:pPr>
        <w:pStyle w:val="NoSpacing1"/>
        <w:numPr>
          <w:ilvl w:val="0"/>
          <w:numId w:val="6"/>
        </w:numPr>
        <w:jc w:val="both"/>
        <w:rPr>
          <w:rStyle w:val="Strong1"/>
          <w:b w:val="0"/>
          <w:lang w:val="en-US"/>
        </w:rPr>
      </w:pPr>
      <w:r>
        <w:rPr>
          <w:rStyle w:val="Strong1"/>
          <w:b w:val="0"/>
        </w:rPr>
        <w:t xml:space="preserve">As per </w:t>
      </w:r>
      <w:r w:rsidR="008079A6">
        <w:rPr>
          <w:rStyle w:val="Strong1"/>
          <w:b w:val="0"/>
        </w:rPr>
        <w:t>letter of the State Committee for Ecology and Environmental Protection from 4 November 2020</w:t>
      </w:r>
      <w:r>
        <w:rPr>
          <w:rStyle w:val="Strong1"/>
          <w:b w:val="0"/>
        </w:rPr>
        <w:t xml:space="preserve"> the existing dumpsite in </w:t>
      </w:r>
      <w:proofErr w:type="spellStart"/>
      <w:r>
        <w:rPr>
          <w:rStyle w:val="Strong1"/>
          <w:b w:val="0"/>
        </w:rPr>
        <w:t>Akhangaran</w:t>
      </w:r>
      <w:proofErr w:type="spellEnd"/>
      <w:r>
        <w:rPr>
          <w:rStyle w:val="Strong1"/>
          <w:b w:val="0"/>
        </w:rPr>
        <w:t xml:space="preserve"> district is provided for implementation of investment project with participation of </w:t>
      </w:r>
      <w:proofErr w:type="spellStart"/>
      <w:r>
        <w:rPr>
          <w:rStyle w:val="Strong1"/>
          <w:b w:val="0"/>
        </w:rPr>
        <w:t>Sejin</w:t>
      </w:r>
      <w:proofErr w:type="spellEnd"/>
      <w:r>
        <w:rPr>
          <w:rStyle w:val="Strong1"/>
          <w:b w:val="0"/>
        </w:rPr>
        <w:t xml:space="preserve"> G</w:t>
      </w:r>
      <w:r w:rsidR="00A71A3E">
        <w:rPr>
          <w:rStyle w:val="Strong1"/>
          <w:b w:val="0"/>
        </w:rPr>
        <w:t>&amp;</w:t>
      </w:r>
      <w:r>
        <w:rPr>
          <w:rStyle w:val="Strong1"/>
          <w:b w:val="0"/>
        </w:rPr>
        <w:t>E Co., Ltd. from</w:t>
      </w:r>
      <w:r w:rsidRPr="003C2D46">
        <w:rPr>
          <w:rStyle w:val="Strong1"/>
          <w:b w:val="0"/>
          <w:lang w:val="en-US"/>
        </w:rPr>
        <w:t xml:space="preserve"> </w:t>
      </w:r>
      <w:r>
        <w:rPr>
          <w:rStyle w:val="Strong1"/>
          <w:b w:val="0"/>
        </w:rPr>
        <w:t>South</w:t>
      </w:r>
      <w:r w:rsidRPr="003C2D46">
        <w:rPr>
          <w:rStyle w:val="Strong1"/>
          <w:b w:val="0"/>
          <w:lang w:val="en-US"/>
        </w:rPr>
        <w:t xml:space="preserve"> </w:t>
      </w:r>
      <w:r>
        <w:rPr>
          <w:rStyle w:val="Strong1"/>
          <w:b w:val="0"/>
        </w:rPr>
        <w:t>Korea</w:t>
      </w:r>
      <w:r w:rsidRPr="003C2D46">
        <w:rPr>
          <w:rStyle w:val="Strong1"/>
          <w:b w:val="0"/>
          <w:lang w:val="en-US"/>
        </w:rPr>
        <w:t xml:space="preserve"> </w:t>
      </w:r>
      <w:r>
        <w:rPr>
          <w:rStyle w:val="Strong1"/>
          <w:b w:val="0"/>
        </w:rPr>
        <w:t>intending</w:t>
      </w:r>
      <w:r w:rsidRPr="003C2D46">
        <w:rPr>
          <w:rStyle w:val="Strong1"/>
          <w:b w:val="0"/>
          <w:lang w:val="en-US"/>
        </w:rPr>
        <w:t xml:space="preserve"> </w:t>
      </w:r>
      <w:r>
        <w:rPr>
          <w:rStyle w:val="Strong1"/>
          <w:b w:val="0"/>
        </w:rPr>
        <w:t>to</w:t>
      </w:r>
      <w:r w:rsidRPr="003C2D46">
        <w:rPr>
          <w:rStyle w:val="Strong1"/>
          <w:b w:val="0"/>
          <w:lang w:val="en-US"/>
        </w:rPr>
        <w:t xml:space="preserve"> </w:t>
      </w:r>
      <w:r>
        <w:rPr>
          <w:rStyle w:val="Strong1"/>
          <w:b w:val="0"/>
          <w:lang w:val="en-US"/>
        </w:rPr>
        <w:t>generate electrical power from transformation of landfill gas. The dumpsite closure works shall be implemented under this project and there is no need to spend the ADB loan funds for this works.</w:t>
      </w:r>
    </w:p>
    <w:p w:rsidR="003C2D46" w:rsidRPr="003C2D46" w:rsidRDefault="00981BD1" w:rsidP="003C2D46">
      <w:pPr>
        <w:pStyle w:val="NoSpacing1"/>
        <w:numPr>
          <w:ilvl w:val="0"/>
          <w:numId w:val="6"/>
        </w:numPr>
        <w:jc w:val="both"/>
        <w:rPr>
          <w:rStyle w:val="Strong1"/>
          <w:b w:val="0"/>
          <w:lang w:val="en-US"/>
        </w:rPr>
      </w:pPr>
      <w:r>
        <w:rPr>
          <w:rStyle w:val="Strong1"/>
          <w:b w:val="0"/>
          <w:lang w:val="en-US"/>
        </w:rPr>
        <w:t xml:space="preserve">The present design for construction of sanitary landfill on 30 ha in </w:t>
      </w:r>
      <w:proofErr w:type="spellStart"/>
      <w:r>
        <w:rPr>
          <w:rStyle w:val="Strong1"/>
          <w:b w:val="0"/>
        </w:rPr>
        <w:t>Akhangaran</w:t>
      </w:r>
      <w:proofErr w:type="spellEnd"/>
      <w:r>
        <w:rPr>
          <w:rStyle w:val="Strong1"/>
          <w:b w:val="0"/>
        </w:rPr>
        <w:t xml:space="preserve"> district </w:t>
      </w:r>
      <w:r w:rsidR="001B6FA7">
        <w:rPr>
          <w:rStyle w:val="Strong1"/>
          <w:b w:val="0"/>
        </w:rPr>
        <w:t xml:space="preserve">shall be revised taking into account </w:t>
      </w:r>
      <w:r w:rsidR="00ED7A7C">
        <w:rPr>
          <w:rStyle w:val="Strong1"/>
          <w:b w:val="0"/>
        </w:rPr>
        <w:t xml:space="preserve">the technical aspects, in particular </w:t>
      </w:r>
      <w:r w:rsidR="00666B0C">
        <w:rPr>
          <w:rStyle w:val="Strong1"/>
          <w:b w:val="0"/>
        </w:rPr>
        <w:t xml:space="preserve">waste treatment technologies </w:t>
      </w:r>
      <w:r w:rsidR="00ED7A7C">
        <w:rPr>
          <w:rStyle w:val="Strong1"/>
          <w:b w:val="0"/>
        </w:rPr>
        <w:t xml:space="preserve">by </w:t>
      </w:r>
      <w:r w:rsidR="00666B0C">
        <w:rPr>
          <w:rStyle w:val="Strong1"/>
          <w:b w:val="0"/>
        </w:rPr>
        <w:t xml:space="preserve">using the alternative energy solutions as stipulated in the National Waste Management </w:t>
      </w:r>
      <w:r w:rsidR="00ED7A7C">
        <w:rPr>
          <w:rStyle w:val="Strong1"/>
          <w:b w:val="0"/>
        </w:rPr>
        <w:t xml:space="preserve">Strategy for the period 2019 – 2028 approved by the Uzbekistan President Decree No. PP-4291 from 17.04.2019. </w:t>
      </w:r>
    </w:p>
    <w:p w:rsidR="003C2D46" w:rsidRDefault="003C2D46" w:rsidP="00840E32">
      <w:pPr>
        <w:pStyle w:val="NoSpacing1"/>
        <w:jc w:val="both"/>
        <w:rPr>
          <w:rStyle w:val="Strong1"/>
          <w:b w:val="0"/>
          <w:lang w:val="en-US"/>
        </w:rPr>
      </w:pPr>
    </w:p>
    <w:p w:rsidR="00840E32" w:rsidRPr="003C2D46" w:rsidRDefault="00840E32" w:rsidP="00840E32">
      <w:pPr>
        <w:pStyle w:val="NoSpacing1"/>
        <w:jc w:val="both"/>
        <w:rPr>
          <w:rStyle w:val="Strong1"/>
          <w:b w:val="0"/>
          <w:lang w:val="en-US"/>
        </w:rPr>
      </w:pPr>
      <w:r>
        <w:rPr>
          <w:rStyle w:val="Strong1"/>
          <w:b w:val="0"/>
          <w:lang w:val="en-US"/>
        </w:rPr>
        <w:t xml:space="preserve">On 19 December 2020, PIU sent to ADB the Minutes of Meeting of the City’s Tender Committee </w:t>
      </w:r>
      <w:r w:rsidR="007B5DC7">
        <w:rPr>
          <w:rStyle w:val="Strong1"/>
          <w:b w:val="0"/>
          <w:lang w:val="en-US"/>
        </w:rPr>
        <w:t xml:space="preserve">cancelling </w:t>
      </w:r>
      <w:r w:rsidR="00D32BB5">
        <w:rPr>
          <w:rStyle w:val="Strong1"/>
          <w:b w:val="0"/>
          <w:lang w:val="en-US"/>
        </w:rPr>
        <w:t xml:space="preserve">this bid and requesting the rebidding for construction of sanitary landfill with revision of design and bidding documents accordingly.  </w:t>
      </w:r>
      <w:r w:rsidR="00933BBE">
        <w:rPr>
          <w:rStyle w:val="Strong1"/>
          <w:b w:val="0"/>
          <w:lang w:val="en-US"/>
        </w:rPr>
        <w:t xml:space="preserve">ADB noted that the bid validity has expired on 30 September 2020 and PIU did not send to ADB an official request for further extension of validity of bids and bid securities. Meanwhile, upon request of PIU, the bidders have extended their bids until 30 November 2020 and bid securities until 31 December 2020.  </w:t>
      </w:r>
    </w:p>
    <w:p w:rsidR="008079A6" w:rsidRDefault="008079A6">
      <w:pPr>
        <w:pStyle w:val="NoSpacing1"/>
        <w:jc w:val="both"/>
        <w:rPr>
          <w:rStyle w:val="Strong1"/>
          <w:b w:val="0"/>
        </w:rPr>
      </w:pPr>
    </w:p>
    <w:p w:rsidR="001E5FFC" w:rsidRDefault="0054455E">
      <w:pPr>
        <w:pStyle w:val="NoSpacing1"/>
        <w:jc w:val="both"/>
        <w:rPr>
          <w:rStyle w:val="Strong1"/>
          <w:b w:val="0"/>
          <w:lang w:val="en-US"/>
        </w:rPr>
      </w:pPr>
      <w:r>
        <w:rPr>
          <w:rStyle w:val="Strong1"/>
          <w:b w:val="0"/>
          <w:lang w:val="en-US"/>
        </w:rPr>
        <w:t>Chronology of the tender process from IFB issuing till end of December 2020 is outlined below:</w:t>
      </w:r>
    </w:p>
    <w:p w:rsidR="0054455E" w:rsidRDefault="0054455E">
      <w:pPr>
        <w:pStyle w:val="NoSpacing1"/>
        <w:jc w:val="both"/>
        <w:rPr>
          <w:rStyle w:val="Strong1"/>
          <w:b w:val="0"/>
          <w:lang w:val="en-US"/>
        </w:rPr>
      </w:pPr>
    </w:p>
    <w:tbl>
      <w:tblPr>
        <w:tblStyle w:val="af8"/>
        <w:tblW w:w="0" w:type="auto"/>
        <w:tblInd w:w="108" w:type="dxa"/>
        <w:tblLook w:val="04A0"/>
      </w:tblPr>
      <w:tblGrid>
        <w:gridCol w:w="1843"/>
        <w:gridCol w:w="7655"/>
      </w:tblGrid>
      <w:tr w:rsidR="0054455E" w:rsidRPr="00374170" w:rsidTr="0054455E">
        <w:tc>
          <w:tcPr>
            <w:tcW w:w="1843" w:type="dxa"/>
            <w:vAlign w:val="center"/>
          </w:tcPr>
          <w:p w:rsidR="0054455E" w:rsidRPr="004C11BB" w:rsidRDefault="0054455E" w:rsidP="004C11BB">
            <w:pPr>
              <w:pStyle w:val="af9"/>
              <w:tabs>
                <w:tab w:val="left" w:pos="284"/>
              </w:tabs>
              <w:spacing w:line="240" w:lineRule="auto"/>
              <w:ind w:left="0"/>
              <w:jc w:val="left"/>
              <w:rPr>
                <w:b/>
                <w:sz w:val="20"/>
                <w:szCs w:val="20"/>
              </w:rPr>
            </w:pPr>
            <w:r w:rsidRPr="004C11BB">
              <w:rPr>
                <w:b/>
                <w:sz w:val="20"/>
                <w:szCs w:val="20"/>
              </w:rPr>
              <w:t>Data</w:t>
            </w:r>
          </w:p>
        </w:tc>
        <w:tc>
          <w:tcPr>
            <w:tcW w:w="7655" w:type="dxa"/>
            <w:vAlign w:val="center"/>
          </w:tcPr>
          <w:p w:rsidR="0054455E" w:rsidRPr="004C11BB" w:rsidRDefault="0054455E" w:rsidP="004C11BB">
            <w:pPr>
              <w:pStyle w:val="af9"/>
              <w:tabs>
                <w:tab w:val="left" w:pos="284"/>
              </w:tabs>
              <w:spacing w:line="240" w:lineRule="auto"/>
              <w:ind w:left="0"/>
              <w:jc w:val="left"/>
              <w:rPr>
                <w:b/>
                <w:sz w:val="20"/>
                <w:szCs w:val="20"/>
              </w:rPr>
            </w:pPr>
            <w:r w:rsidRPr="004C11BB">
              <w:rPr>
                <w:b/>
                <w:sz w:val="20"/>
                <w:szCs w:val="20"/>
              </w:rPr>
              <w:t>Action</w:t>
            </w:r>
          </w:p>
        </w:tc>
      </w:tr>
      <w:tr w:rsidR="0054455E" w:rsidRPr="0054455E"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15 October 2019</w:t>
            </w:r>
          </w:p>
        </w:tc>
        <w:tc>
          <w:tcPr>
            <w:tcW w:w="7655"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 xml:space="preserve">IFB posting on web site of ADB, Maxsustrans and </w:t>
            </w:r>
            <w:hyperlink r:id="rId19" w:history="1">
              <w:r w:rsidRPr="004C11BB">
                <w:rPr>
                  <w:rStyle w:val="a8"/>
                  <w:sz w:val="20"/>
                  <w:szCs w:val="20"/>
                </w:rPr>
                <w:t>www.tenderweek.com</w:t>
              </w:r>
            </w:hyperlink>
            <w:r w:rsidRPr="004C11BB">
              <w:rPr>
                <w:sz w:val="20"/>
                <w:szCs w:val="20"/>
              </w:rPr>
              <w:t>, and also in local newspaper «</w:t>
            </w:r>
            <w:proofErr w:type="spellStart"/>
            <w:r w:rsidRPr="004C11BB">
              <w:rPr>
                <w:sz w:val="20"/>
                <w:szCs w:val="20"/>
              </w:rPr>
              <w:t>Vecherniy</w:t>
            </w:r>
            <w:proofErr w:type="spellEnd"/>
            <w:r w:rsidRPr="004C11BB">
              <w:rPr>
                <w:sz w:val="20"/>
                <w:szCs w:val="20"/>
              </w:rPr>
              <w:t xml:space="preserve"> Tashkent»</w:t>
            </w:r>
          </w:p>
        </w:tc>
      </w:tr>
      <w:tr w:rsidR="0054455E" w:rsidRPr="0054455E"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26 November 2019</w:t>
            </w:r>
          </w:p>
        </w:tc>
        <w:tc>
          <w:tcPr>
            <w:tcW w:w="7655" w:type="dxa"/>
            <w:vAlign w:val="center"/>
          </w:tcPr>
          <w:p w:rsidR="0054455E" w:rsidRPr="004C11BB" w:rsidRDefault="0054455E" w:rsidP="004C11BB">
            <w:pPr>
              <w:pStyle w:val="af9"/>
              <w:tabs>
                <w:tab w:val="left" w:pos="284"/>
              </w:tabs>
              <w:spacing w:line="240" w:lineRule="auto"/>
              <w:ind w:left="0"/>
              <w:jc w:val="left"/>
              <w:rPr>
                <w:sz w:val="20"/>
                <w:szCs w:val="20"/>
                <w:lang w:val="ru-RU"/>
              </w:rPr>
            </w:pPr>
            <w:r w:rsidRPr="004C11BB">
              <w:rPr>
                <w:sz w:val="20"/>
                <w:szCs w:val="20"/>
              </w:rPr>
              <w:t>Bid</w:t>
            </w:r>
            <w:r w:rsidRPr="004C11BB">
              <w:rPr>
                <w:sz w:val="20"/>
                <w:szCs w:val="20"/>
                <w:lang w:val="ru-RU"/>
              </w:rPr>
              <w:t xml:space="preserve"> </w:t>
            </w:r>
            <w:r w:rsidRPr="004C11BB">
              <w:rPr>
                <w:sz w:val="20"/>
                <w:szCs w:val="20"/>
              </w:rPr>
              <w:t>opening</w:t>
            </w:r>
          </w:p>
        </w:tc>
      </w:tr>
      <w:tr w:rsidR="0054455E" w:rsidRPr="00B61E95"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10 December 2019</w:t>
            </w:r>
          </w:p>
        </w:tc>
        <w:tc>
          <w:tcPr>
            <w:tcW w:w="7655" w:type="dxa"/>
            <w:vAlign w:val="center"/>
          </w:tcPr>
          <w:p w:rsidR="0054455E" w:rsidRPr="004C11BB" w:rsidRDefault="0054455E" w:rsidP="004C11BB">
            <w:pPr>
              <w:pStyle w:val="af9"/>
              <w:tabs>
                <w:tab w:val="left" w:pos="284"/>
              </w:tabs>
              <w:spacing w:line="240" w:lineRule="auto"/>
              <w:ind w:left="0"/>
              <w:jc w:val="left"/>
              <w:rPr>
                <w:bCs/>
                <w:sz w:val="20"/>
                <w:szCs w:val="20"/>
              </w:rPr>
            </w:pPr>
            <w:r w:rsidRPr="004C11BB">
              <w:rPr>
                <w:bCs/>
                <w:sz w:val="20"/>
                <w:szCs w:val="20"/>
              </w:rPr>
              <w:t xml:space="preserve">Review of initial bid evaluation by Tender Committee </w:t>
            </w:r>
            <w:r w:rsidR="00B61E95" w:rsidRPr="004C11BB">
              <w:rPr>
                <w:bCs/>
                <w:sz w:val="20"/>
                <w:szCs w:val="20"/>
              </w:rPr>
              <w:t xml:space="preserve">(TC) </w:t>
            </w:r>
            <w:r w:rsidRPr="004C11BB">
              <w:rPr>
                <w:bCs/>
                <w:sz w:val="20"/>
                <w:szCs w:val="20"/>
              </w:rPr>
              <w:t>and comments for revision of BER</w:t>
            </w:r>
          </w:p>
        </w:tc>
      </w:tr>
      <w:tr w:rsidR="0054455E" w:rsidRPr="0054455E"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17 February 2020</w:t>
            </w:r>
          </w:p>
        </w:tc>
        <w:tc>
          <w:tcPr>
            <w:tcW w:w="7655"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 xml:space="preserve">Review of the revised BER </w:t>
            </w:r>
            <w:r w:rsidR="00B61E95" w:rsidRPr="004C11BB">
              <w:rPr>
                <w:sz w:val="20"/>
                <w:szCs w:val="20"/>
              </w:rPr>
              <w:t xml:space="preserve">by TC </w:t>
            </w:r>
            <w:r w:rsidRPr="004C11BB">
              <w:rPr>
                <w:sz w:val="20"/>
                <w:szCs w:val="20"/>
              </w:rPr>
              <w:t xml:space="preserve">and request for clarification to MIFT and ADB re. correctness of PIU actions in terms of </w:t>
            </w:r>
            <w:r w:rsidR="00B61E95" w:rsidRPr="004C11BB">
              <w:rPr>
                <w:sz w:val="20"/>
                <w:szCs w:val="20"/>
              </w:rPr>
              <w:t>compliance with the Procurement Guidelines</w:t>
            </w:r>
          </w:p>
        </w:tc>
      </w:tr>
      <w:tr w:rsidR="0054455E" w:rsidRPr="00B61E95"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20 February 2020</w:t>
            </w:r>
          </w:p>
        </w:tc>
        <w:tc>
          <w:tcPr>
            <w:tcW w:w="7655" w:type="dxa"/>
            <w:vAlign w:val="center"/>
          </w:tcPr>
          <w:p w:rsidR="0054455E" w:rsidRPr="004C11BB" w:rsidRDefault="00B61E95" w:rsidP="004C11BB">
            <w:pPr>
              <w:pStyle w:val="af9"/>
              <w:tabs>
                <w:tab w:val="left" w:pos="284"/>
              </w:tabs>
              <w:spacing w:line="240" w:lineRule="auto"/>
              <w:ind w:left="0"/>
              <w:jc w:val="left"/>
              <w:rPr>
                <w:sz w:val="20"/>
                <w:szCs w:val="20"/>
              </w:rPr>
            </w:pPr>
            <w:r w:rsidRPr="004C11BB">
              <w:rPr>
                <w:sz w:val="20"/>
                <w:szCs w:val="20"/>
              </w:rPr>
              <w:t>Responses from MIFT and ADB distributed to TC</w:t>
            </w:r>
            <w:r w:rsidR="0054455E" w:rsidRPr="004C11BB">
              <w:rPr>
                <w:sz w:val="20"/>
                <w:szCs w:val="20"/>
              </w:rPr>
              <w:t xml:space="preserve"> </w:t>
            </w:r>
          </w:p>
        </w:tc>
      </w:tr>
      <w:tr w:rsidR="0054455E" w:rsidRPr="00B61E95"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23 May 2020</w:t>
            </w:r>
          </w:p>
        </w:tc>
        <w:tc>
          <w:tcPr>
            <w:tcW w:w="7655" w:type="dxa"/>
            <w:vAlign w:val="center"/>
          </w:tcPr>
          <w:p w:rsidR="00B61E95" w:rsidRPr="004C11BB" w:rsidRDefault="00B61E95" w:rsidP="004C11BB">
            <w:pPr>
              <w:pStyle w:val="af9"/>
              <w:tabs>
                <w:tab w:val="left" w:pos="284"/>
              </w:tabs>
              <w:spacing w:line="240" w:lineRule="auto"/>
              <w:ind w:left="0"/>
              <w:jc w:val="left"/>
              <w:rPr>
                <w:sz w:val="20"/>
                <w:szCs w:val="20"/>
              </w:rPr>
            </w:pPr>
            <w:r w:rsidRPr="004C11BB">
              <w:rPr>
                <w:sz w:val="20"/>
                <w:szCs w:val="20"/>
              </w:rPr>
              <w:t>Meeting of TC deciding to cancel the bid process and to request the rebidding through international competitive bidding.</w:t>
            </w:r>
          </w:p>
          <w:p w:rsidR="00B61E95" w:rsidRPr="004C11BB" w:rsidRDefault="00B61E95" w:rsidP="004C11BB">
            <w:pPr>
              <w:pStyle w:val="af9"/>
              <w:tabs>
                <w:tab w:val="left" w:pos="284"/>
              </w:tabs>
              <w:spacing w:line="240" w:lineRule="auto"/>
              <w:ind w:left="0"/>
              <w:jc w:val="left"/>
              <w:rPr>
                <w:sz w:val="20"/>
                <w:szCs w:val="20"/>
              </w:rPr>
            </w:pPr>
          </w:p>
          <w:p w:rsidR="0054455E" w:rsidRPr="004C11BB" w:rsidRDefault="00B61E95" w:rsidP="004C11BB">
            <w:pPr>
              <w:pStyle w:val="af9"/>
              <w:tabs>
                <w:tab w:val="left" w:pos="284"/>
              </w:tabs>
              <w:spacing w:line="240" w:lineRule="auto"/>
              <w:ind w:left="0"/>
              <w:jc w:val="left"/>
              <w:rPr>
                <w:i/>
                <w:sz w:val="20"/>
                <w:szCs w:val="20"/>
              </w:rPr>
            </w:pPr>
            <w:r w:rsidRPr="004C11BB">
              <w:rPr>
                <w:i/>
                <w:sz w:val="20"/>
                <w:szCs w:val="20"/>
              </w:rPr>
              <w:t>Notes</w:t>
            </w:r>
            <w:r w:rsidR="0054455E" w:rsidRPr="004C11BB">
              <w:rPr>
                <w:i/>
                <w:sz w:val="20"/>
                <w:szCs w:val="20"/>
              </w:rPr>
              <w:t xml:space="preserve">: </w:t>
            </w:r>
            <w:r w:rsidRPr="004C11BB">
              <w:rPr>
                <w:i/>
                <w:sz w:val="20"/>
                <w:szCs w:val="20"/>
              </w:rPr>
              <w:t xml:space="preserve">Due to restrictions caused by COVID-19 and other urgent tasks of TC, there was a long interruption between the previous meeting from 17 February 2020 and the next meeting on 23 May 2020. </w:t>
            </w:r>
          </w:p>
        </w:tc>
      </w:tr>
      <w:tr w:rsidR="0054455E" w:rsidRPr="00337067"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28 May 2020</w:t>
            </w:r>
          </w:p>
        </w:tc>
        <w:tc>
          <w:tcPr>
            <w:tcW w:w="7655" w:type="dxa"/>
            <w:vAlign w:val="center"/>
          </w:tcPr>
          <w:p w:rsidR="0054455E" w:rsidRPr="004C11BB" w:rsidRDefault="00337067" w:rsidP="004C11BB">
            <w:pPr>
              <w:pStyle w:val="af9"/>
              <w:tabs>
                <w:tab w:val="left" w:pos="284"/>
              </w:tabs>
              <w:spacing w:line="240" w:lineRule="auto"/>
              <w:ind w:left="0"/>
              <w:jc w:val="left"/>
              <w:rPr>
                <w:sz w:val="20"/>
                <w:szCs w:val="20"/>
              </w:rPr>
            </w:pPr>
            <w:r w:rsidRPr="004C11BB">
              <w:rPr>
                <w:sz w:val="20"/>
                <w:szCs w:val="20"/>
              </w:rPr>
              <w:t>Letter of Tashkent Municipality to ADB requesting the rebidding.</w:t>
            </w:r>
          </w:p>
        </w:tc>
      </w:tr>
      <w:tr w:rsidR="0054455E" w:rsidRPr="00337067"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19 June 2020</w:t>
            </w:r>
          </w:p>
        </w:tc>
        <w:tc>
          <w:tcPr>
            <w:tcW w:w="7655" w:type="dxa"/>
            <w:vAlign w:val="center"/>
          </w:tcPr>
          <w:p w:rsidR="0054455E" w:rsidRPr="004C11BB" w:rsidRDefault="00337067" w:rsidP="004C11BB">
            <w:pPr>
              <w:pStyle w:val="af9"/>
              <w:tabs>
                <w:tab w:val="left" w:pos="284"/>
              </w:tabs>
              <w:spacing w:line="240" w:lineRule="auto"/>
              <w:ind w:left="0"/>
              <w:jc w:val="left"/>
              <w:rPr>
                <w:sz w:val="20"/>
                <w:szCs w:val="20"/>
              </w:rPr>
            </w:pPr>
            <w:r w:rsidRPr="004C11BB">
              <w:rPr>
                <w:sz w:val="20"/>
                <w:szCs w:val="20"/>
              </w:rPr>
              <w:t>Response of ADB requesting to provide submission of BER to justify the request and extension of bid validity from 31 May till 28 June or other acceptable date.</w:t>
            </w:r>
          </w:p>
        </w:tc>
      </w:tr>
      <w:tr w:rsidR="0054455E" w:rsidRPr="00337067"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23 June 2020</w:t>
            </w:r>
          </w:p>
        </w:tc>
        <w:tc>
          <w:tcPr>
            <w:tcW w:w="7655" w:type="dxa"/>
            <w:vAlign w:val="center"/>
          </w:tcPr>
          <w:p w:rsidR="0054455E" w:rsidRPr="004C11BB" w:rsidRDefault="00337067" w:rsidP="004C11BB">
            <w:pPr>
              <w:pStyle w:val="af9"/>
              <w:tabs>
                <w:tab w:val="left" w:pos="284"/>
              </w:tabs>
              <w:spacing w:line="240" w:lineRule="auto"/>
              <w:ind w:left="0"/>
              <w:jc w:val="left"/>
              <w:rPr>
                <w:sz w:val="20"/>
                <w:szCs w:val="20"/>
              </w:rPr>
            </w:pPr>
            <w:r w:rsidRPr="004C11BB">
              <w:rPr>
                <w:sz w:val="20"/>
                <w:szCs w:val="20"/>
              </w:rPr>
              <w:t xml:space="preserve">BER with justifications and conclusions of TC made in the meeting on 23 May </w:t>
            </w:r>
            <w:proofErr w:type="gramStart"/>
            <w:r w:rsidRPr="004C11BB">
              <w:rPr>
                <w:sz w:val="20"/>
                <w:szCs w:val="20"/>
              </w:rPr>
              <w:t>2020  has</w:t>
            </w:r>
            <w:proofErr w:type="gramEnd"/>
            <w:r w:rsidRPr="004C11BB">
              <w:rPr>
                <w:sz w:val="20"/>
                <w:szCs w:val="20"/>
              </w:rPr>
              <w:t xml:space="preserve"> been sent to ADB’s review.</w:t>
            </w:r>
          </w:p>
        </w:tc>
      </w:tr>
      <w:tr w:rsidR="0054455E" w:rsidRPr="0054455E"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9 July 2020</w:t>
            </w:r>
          </w:p>
        </w:tc>
        <w:tc>
          <w:tcPr>
            <w:tcW w:w="7655" w:type="dxa"/>
            <w:vAlign w:val="center"/>
          </w:tcPr>
          <w:p w:rsidR="0054455E" w:rsidRPr="004C11BB" w:rsidRDefault="00B51528" w:rsidP="004C11BB">
            <w:pPr>
              <w:pStyle w:val="af9"/>
              <w:tabs>
                <w:tab w:val="left" w:pos="284"/>
              </w:tabs>
              <w:spacing w:line="240" w:lineRule="auto"/>
              <w:ind w:left="0"/>
              <w:jc w:val="left"/>
              <w:rPr>
                <w:sz w:val="20"/>
                <w:szCs w:val="20"/>
              </w:rPr>
            </w:pPr>
            <w:r w:rsidRPr="004C11BB">
              <w:rPr>
                <w:sz w:val="20"/>
                <w:szCs w:val="20"/>
              </w:rPr>
              <w:t xml:space="preserve">ADB provided comments to BER and objection for justifications and conclusion of TC about cancelling the bid results and request for rebidding. The bank requested to provide additional clarifications and confirmation documents </w:t>
            </w:r>
            <w:r w:rsidR="00693FFC" w:rsidRPr="004C11BB">
              <w:rPr>
                <w:sz w:val="20"/>
                <w:szCs w:val="20"/>
              </w:rPr>
              <w:t>for justifications of TC.</w:t>
            </w:r>
          </w:p>
        </w:tc>
      </w:tr>
      <w:tr w:rsidR="0054455E" w:rsidRPr="00693FFC"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10 August 2020</w:t>
            </w:r>
          </w:p>
        </w:tc>
        <w:tc>
          <w:tcPr>
            <w:tcW w:w="7655" w:type="dxa"/>
            <w:vAlign w:val="center"/>
          </w:tcPr>
          <w:p w:rsidR="0054455E" w:rsidRPr="004C11BB" w:rsidRDefault="00693FFC" w:rsidP="004C11BB">
            <w:pPr>
              <w:pStyle w:val="af9"/>
              <w:tabs>
                <w:tab w:val="left" w:pos="284"/>
              </w:tabs>
              <w:spacing w:line="240" w:lineRule="auto"/>
              <w:ind w:left="0"/>
              <w:jc w:val="left"/>
              <w:rPr>
                <w:sz w:val="20"/>
                <w:szCs w:val="20"/>
              </w:rPr>
            </w:pPr>
            <w:r w:rsidRPr="004C11BB">
              <w:rPr>
                <w:sz w:val="20"/>
                <w:szCs w:val="20"/>
              </w:rPr>
              <w:t>Meeting</w:t>
            </w:r>
            <w:r w:rsidRPr="00971DEC">
              <w:rPr>
                <w:sz w:val="20"/>
                <w:szCs w:val="20"/>
              </w:rPr>
              <w:t xml:space="preserve"> </w:t>
            </w:r>
            <w:r w:rsidRPr="004C11BB">
              <w:rPr>
                <w:sz w:val="20"/>
                <w:szCs w:val="20"/>
              </w:rPr>
              <w:t>of</w:t>
            </w:r>
            <w:r w:rsidRPr="00971DEC">
              <w:rPr>
                <w:sz w:val="20"/>
                <w:szCs w:val="20"/>
              </w:rPr>
              <w:t xml:space="preserve"> </w:t>
            </w:r>
            <w:r w:rsidRPr="004C11BB">
              <w:rPr>
                <w:sz w:val="20"/>
                <w:szCs w:val="20"/>
              </w:rPr>
              <w:t>the</w:t>
            </w:r>
            <w:r w:rsidRPr="00971DEC">
              <w:rPr>
                <w:sz w:val="20"/>
                <w:szCs w:val="20"/>
              </w:rPr>
              <w:t xml:space="preserve"> </w:t>
            </w:r>
            <w:r w:rsidRPr="004C11BB">
              <w:rPr>
                <w:sz w:val="20"/>
                <w:szCs w:val="20"/>
              </w:rPr>
              <w:t>Government</w:t>
            </w:r>
            <w:r w:rsidRPr="00971DEC">
              <w:rPr>
                <w:sz w:val="20"/>
                <w:szCs w:val="20"/>
              </w:rPr>
              <w:t xml:space="preserve"> </w:t>
            </w:r>
            <w:r w:rsidRPr="004C11BB">
              <w:rPr>
                <w:sz w:val="20"/>
                <w:szCs w:val="20"/>
              </w:rPr>
              <w:t>of</w:t>
            </w:r>
            <w:r w:rsidRPr="00971DEC">
              <w:rPr>
                <w:sz w:val="20"/>
                <w:szCs w:val="20"/>
              </w:rPr>
              <w:t xml:space="preserve"> </w:t>
            </w:r>
            <w:r w:rsidRPr="004C11BB">
              <w:rPr>
                <w:sz w:val="20"/>
                <w:szCs w:val="20"/>
              </w:rPr>
              <w:t>Uzbekistan</w:t>
            </w:r>
            <w:r w:rsidRPr="00971DEC">
              <w:rPr>
                <w:sz w:val="20"/>
                <w:szCs w:val="20"/>
              </w:rPr>
              <w:t xml:space="preserve"> </w:t>
            </w:r>
            <w:r w:rsidRPr="004C11BB">
              <w:rPr>
                <w:sz w:val="20"/>
                <w:szCs w:val="20"/>
              </w:rPr>
              <w:t>leaded</w:t>
            </w:r>
            <w:r w:rsidRPr="00971DEC">
              <w:rPr>
                <w:sz w:val="20"/>
                <w:szCs w:val="20"/>
              </w:rPr>
              <w:t xml:space="preserve"> </w:t>
            </w:r>
            <w:r w:rsidRPr="004C11BB">
              <w:rPr>
                <w:sz w:val="20"/>
                <w:szCs w:val="20"/>
              </w:rPr>
              <w:t>by</w:t>
            </w:r>
            <w:r w:rsidRPr="00971DEC">
              <w:rPr>
                <w:sz w:val="20"/>
                <w:szCs w:val="20"/>
              </w:rPr>
              <w:t xml:space="preserve"> </w:t>
            </w:r>
            <w:r w:rsidRPr="004C11BB">
              <w:rPr>
                <w:sz w:val="20"/>
                <w:szCs w:val="20"/>
              </w:rPr>
              <w:t>the</w:t>
            </w:r>
            <w:r w:rsidRPr="00971DEC">
              <w:rPr>
                <w:sz w:val="20"/>
                <w:szCs w:val="20"/>
              </w:rPr>
              <w:t xml:space="preserve"> </w:t>
            </w:r>
            <w:r w:rsidRPr="004C11BB">
              <w:rPr>
                <w:sz w:val="20"/>
                <w:szCs w:val="20"/>
              </w:rPr>
              <w:t>President</w:t>
            </w:r>
            <w:r w:rsidRPr="00971DEC">
              <w:rPr>
                <w:sz w:val="20"/>
                <w:szCs w:val="20"/>
              </w:rPr>
              <w:t xml:space="preserve"> </w:t>
            </w:r>
            <w:r w:rsidRPr="004C11BB">
              <w:rPr>
                <w:sz w:val="20"/>
                <w:szCs w:val="20"/>
              </w:rPr>
              <w:t>of</w:t>
            </w:r>
            <w:r w:rsidRPr="00971DEC">
              <w:rPr>
                <w:sz w:val="20"/>
                <w:szCs w:val="20"/>
              </w:rPr>
              <w:t xml:space="preserve"> </w:t>
            </w:r>
            <w:r w:rsidRPr="004C11BB">
              <w:rPr>
                <w:sz w:val="20"/>
                <w:szCs w:val="20"/>
              </w:rPr>
              <w:t>Uzbekistan</w:t>
            </w:r>
            <w:r w:rsidRPr="00971DEC">
              <w:rPr>
                <w:sz w:val="20"/>
                <w:szCs w:val="20"/>
              </w:rPr>
              <w:t xml:space="preserve">. </w:t>
            </w:r>
            <w:r w:rsidRPr="004C11BB">
              <w:rPr>
                <w:sz w:val="20"/>
                <w:szCs w:val="20"/>
              </w:rPr>
              <w:t xml:space="preserve">Tashkent Municipality and Maxsustrans were advised to complete the bid process and ensure the contract signing with company-winner until 1 September 2020. </w:t>
            </w:r>
          </w:p>
        </w:tc>
      </w:tr>
      <w:tr w:rsidR="0054455E" w:rsidRPr="002E0BA7"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 September 2020</w:t>
            </w:r>
          </w:p>
        </w:tc>
        <w:tc>
          <w:tcPr>
            <w:tcW w:w="7655" w:type="dxa"/>
            <w:vAlign w:val="center"/>
          </w:tcPr>
          <w:p w:rsidR="0054455E" w:rsidRPr="004C11BB" w:rsidRDefault="002E0BA7" w:rsidP="004C11BB">
            <w:pPr>
              <w:pStyle w:val="af9"/>
              <w:tabs>
                <w:tab w:val="left" w:pos="284"/>
              </w:tabs>
              <w:spacing w:line="240" w:lineRule="auto"/>
              <w:ind w:left="0"/>
              <w:jc w:val="left"/>
              <w:rPr>
                <w:sz w:val="20"/>
                <w:szCs w:val="20"/>
              </w:rPr>
            </w:pPr>
            <w:r w:rsidRPr="004C11BB">
              <w:rPr>
                <w:sz w:val="20"/>
                <w:szCs w:val="20"/>
              </w:rPr>
              <w:t xml:space="preserve">Meeting of TC recommending the contract </w:t>
            </w:r>
            <w:r w:rsidR="006A022B" w:rsidRPr="004C11BB">
              <w:rPr>
                <w:sz w:val="20"/>
                <w:szCs w:val="20"/>
              </w:rPr>
              <w:t>a</w:t>
            </w:r>
            <w:r w:rsidRPr="004C11BB">
              <w:rPr>
                <w:sz w:val="20"/>
                <w:szCs w:val="20"/>
              </w:rPr>
              <w:t xml:space="preserve">ward to JV </w:t>
            </w:r>
            <w:r w:rsidR="0054455E" w:rsidRPr="004C11BB">
              <w:rPr>
                <w:sz w:val="20"/>
                <w:szCs w:val="20"/>
              </w:rPr>
              <w:t>«</w:t>
            </w:r>
            <w:proofErr w:type="spellStart"/>
            <w:r w:rsidR="0054455E" w:rsidRPr="004C11BB">
              <w:rPr>
                <w:sz w:val="20"/>
                <w:szCs w:val="20"/>
              </w:rPr>
              <w:t>Go’ksin</w:t>
            </w:r>
            <w:proofErr w:type="spellEnd"/>
            <w:r w:rsidR="0054455E" w:rsidRPr="004C11BB">
              <w:rPr>
                <w:sz w:val="20"/>
                <w:szCs w:val="20"/>
              </w:rPr>
              <w:t xml:space="preserve"> </w:t>
            </w:r>
            <w:proofErr w:type="spellStart"/>
            <w:r w:rsidR="0054455E" w:rsidRPr="004C11BB">
              <w:rPr>
                <w:sz w:val="20"/>
                <w:szCs w:val="20"/>
              </w:rPr>
              <w:t>Insaat</w:t>
            </w:r>
            <w:proofErr w:type="spellEnd"/>
            <w:r w:rsidR="0054455E" w:rsidRPr="004C11BB">
              <w:rPr>
                <w:sz w:val="20"/>
                <w:szCs w:val="20"/>
              </w:rPr>
              <w:t xml:space="preserve"> </w:t>
            </w:r>
            <w:r w:rsidRPr="004C11BB">
              <w:rPr>
                <w:sz w:val="20"/>
                <w:szCs w:val="20"/>
              </w:rPr>
              <w:t xml:space="preserve">and </w:t>
            </w:r>
            <w:proofErr w:type="spellStart"/>
            <w:r w:rsidR="0054455E" w:rsidRPr="004C11BB">
              <w:rPr>
                <w:sz w:val="20"/>
                <w:szCs w:val="20"/>
              </w:rPr>
              <w:t>Hayat</w:t>
            </w:r>
            <w:proofErr w:type="spellEnd"/>
            <w:r w:rsidR="0054455E" w:rsidRPr="004C11BB">
              <w:rPr>
                <w:sz w:val="20"/>
                <w:szCs w:val="20"/>
              </w:rPr>
              <w:t xml:space="preserve"> Group</w:t>
            </w:r>
            <w:r w:rsidRPr="004C11BB">
              <w:rPr>
                <w:sz w:val="20"/>
                <w:szCs w:val="20"/>
              </w:rPr>
              <w:t xml:space="preserve"> LLC» for the amount of $</w:t>
            </w:r>
            <w:r w:rsidR="0054455E" w:rsidRPr="004C11BB">
              <w:rPr>
                <w:sz w:val="20"/>
                <w:szCs w:val="20"/>
              </w:rPr>
              <w:t>22</w:t>
            </w:r>
            <w:proofErr w:type="gramStart"/>
            <w:r w:rsidR="0054455E" w:rsidRPr="004C11BB">
              <w:rPr>
                <w:sz w:val="20"/>
                <w:szCs w:val="20"/>
              </w:rPr>
              <w:t>,28</w:t>
            </w:r>
            <w:proofErr w:type="gramEnd"/>
            <w:r w:rsidR="0054455E" w:rsidRPr="004C11BB">
              <w:rPr>
                <w:sz w:val="20"/>
                <w:szCs w:val="20"/>
              </w:rPr>
              <w:t xml:space="preserve"> </w:t>
            </w:r>
            <w:r w:rsidRPr="004C11BB">
              <w:rPr>
                <w:sz w:val="20"/>
                <w:szCs w:val="20"/>
              </w:rPr>
              <w:t>million</w:t>
            </w:r>
            <w:r w:rsidR="0054455E" w:rsidRPr="004C11BB">
              <w:rPr>
                <w:sz w:val="20"/>
                <w:szCs w:val="20"/>
              </w:rPr>
              <w:t>.</w:t>
            </w:r>
          </w:p>
        </w:tc>
      </w:tr>
      <w:tr w:rsidR="0054455E" w:rsidRPr="006A022B"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15 September 2020</w:t>
            </w:r>
          </w:p>
        </w:tc>
        <w:tc>
          <w:tcPr>
            <w:tcW w:w="7655" w:type="dxa"/>
            <w:vAlign w:val="center"/>
          </w:tcPr>
          <w:p w:rsidR="0054455E" w:rsidRPr="004C11BB" w:rsidRDefault="006A022B" w:rsidP="004C11BB">
            <w:pPr>
              <w:pStyle w:val="af9"/>
              <w:tabs>
                <w:tab w:val="left" w:pos="284"/>
              </w:tabs>
              <w:spacing w:line="240" w:lineRule="auto"/>
              <w:ind w:left="0"/>
              <w:jc w:val="left"/>
              <w:rPr>
                <w:sz w:val="20"/>
                <w:szCs w:val="20"/>
              </w:rPr>
            </w:pPr>
            <w:r w:rsidRPr="004C11BB">
              <w:rPr>
                <w:sz w:val="20"/>
                <w:szCs w:val="20"/>
              </w:rPr>
              <w:t>Revised BER with recommendation on contract award to JV «</w:t>
            </w:r>
            <w:proofErr w:type="spellStart"/>
            <w:r w:rsidRPr="004C11BB">
              <w:rPr>
                <w:sz w:val="20"/>
                <w:szCs w:val="20"/>
              </w:rPr>
              <w:t>Go’ksin</w:t>
            </w:r>
            <w:proofErr w:type="spellEnd"/>
            <w:r w:rsidRPr="004C11BB">
              <w:rPr>
                <w:sz w:val="20"/>
                <w:szCs w:val="20"/>
              </w:rPr>
              <w:t xml:space="preserve"> </w:t>
            </w:r>
            <w:proofErr w:type="spellStart"/>
            <w:r w:rsidRPr="004C11BB">
              <w:rPr>
                <w:sz w:val="20"/>
                <w:szCs w:val="20"/>
              </w:rPr>
              <w:t>Insaat</w:t>
            </w:r>
            <w:proofErr w:type="spellEnd"/>
            <w:r w:rsidRPr="004C11BB">
              <w:rPr>
                <w:sz w:val="20"/>
                <w:szCs w:val="20"/>
              </w:rPr>
              <w:t xml:space="preserve"> and </w:t>
            </w:r>
            <w:proofErr w:type="spellStart"/>
            <w:r w:rsidRPr="004C11BB">
              <w:rPr>
                <w:sz w:val="20"/>
                <w:szCs w:val="20"/>
              </w:rPr>
              <w:t>Hayat</w:t>
            </w:r>
            <w:proofErr w:type="spellEnd"/>
            <w:r w:rsidRPr="004C11BB">
              <w:rPr>
                <w:sz w:val="20"/>
                <w:szCs w:val="20"/>
              </w:rPr>
              <w:t xml:space="preserve"> Group LLC» sent to ADB’s review.</w:t>
            </w:r>
          </w:p>
        </w:tc>
      </w:tr>
      <w:tr w:rsidR="0054455E" w:rsidRPr="006A022B"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30 September 2020</w:t>
            </w:r>
          </w:p>
        </w:tc>
        <w:tc>
          <w:tcPr>
            <w:tcW w:w="7655" w:type="dxa"/>
            <w:vAlign w:val="center"/>
          </w:tcPr>
          <w:p w:rsidR="0054455E" w:rsidRPr="004C11BB" w:rsidRDefault="006A022B" w:rsidP="004C11BB">
            <w:pPr>
              <w:pStyle w:val="af9"/>
              <w:tabs>
                <w:tab w:val="left" w:pos="284"/>
              </w:tabs>
              <w:spacing w:line="240" w:lineRule="auto"/>
              <w:ind w:left="0"/>
              <w:jc w:val="left"/>
              <w:rPr>
                <w:sz w:val="20"/>
                <w:szCs w:val="20"/>
              </w:rPr>
            </w:pPr>
            <w:r w:rsidRPr="004C11BB">
              <w:rPr>
                <w:sz w:val="20"/>
                <w:szCs w:val="20"/>
              </w:rPr>
              <w:t xml:space="preserve">ADB sent objection letter to the revised BER proposing to award the contract to the noncompliant bidder. Maxsustrans advised the Tender Committee is reviewing the bid proposals according to the bidding documents and ADB Procurement Guidelines and </w:t>
            </w:r>
            <w:r w:rsidRPr="004C11BB">
              <w:rPr>
                <w:sz w:val="20"/>
                <w:szCs w:val="20"/>
              </w:rPr>
              <w:lastRenderedPageBreak/>
              <w:t>attempting to find justifications to justify a request for rebidding.</w:t>
            </w:r>
          </w:p>
        </w:tc>
      </w:tr>
      <w:tr w:rsidR="0054455E" w:rsidRPr="00A71A3E"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lastRenderedPageBreak/>
              <w:t>24 November 2020</w:t>
            </w:r>
          </w:p>
        </w:tc>
        <w:tc>
          <w:tcPr>
            <w:tcW w:w="7655" w:type="dxa"/>
            <w:vAlign w:val="center"/>
          </w:tcPr>
          <w:p w:rsidR="00A71A3E" w:rsidRPr="004C11BB" w:rsidRDefault="006A022B" w:rsidP="004C11BB">
            <w:pPr>
              <w:pStyle w:val="af9"/>
              <w:tabs>
                <w:tab w:val="left" w:pos="284"/>
              </w:tabs>
              <w:spacing w:line="240" w:lineRule="auto"/>
              <w:ind w:left="0"/>
              <w:jc w:val="left"/>
              <w:rPr>
                <w:sz w:val="20"/>
                <w:szCs w:val="20"/>
              </w:rPr>
            </w:pPr>
            <w:r w:rsidRPr="004C11BB">
              <w:rPr>
                <w:sz w:val="20"/>
                <w:szCs w:val="20"/>
              </w:rPr>
              <w:t xml:space="preserve">Meeting of TC on which the ADB comments have been </w:t>
            </w:r>
            <w:r w:rsidR="00A71A3E" w:rsidRPr="004C11BB">
              <w:rPr>
                <w:sz w:val="20"/>
                <w:szCs w:val="20"/>
              </w:rPr>
              <w:t>reviewed</w:t>
            </w:r>
            <w:r w:rsidRPr="004C11BB">
              <w:rPr>
                <w:sz w:val="20"/>
                <w:szCs w:val="20"/>
              </w:rPr>
              <w:t xml:space="preserve">. </w:t>
            </w:r>
            <w:r w:rsidR="00A71A3E" w:rsidRPr="004C11BB">
              <w:rPr>
                <w:sz w:val="20"/>
                <w:szCs w:val="20"/>
              </w:rPr>
              <w:t xml:space="preserve">Considering letter of the State Committee for Ecology and Environmental Protection from 4 November 2020 the existing dumpsite in </w:t>
            </w:r>
            <w:proofErr w:type="spellStart"/>
            <w:r w:rsidR="00A71A3E" w:rsidRPr="004C11BB">
              <w:rPr>
                <w:sz w:val="20"/>
                <w:szCs w:val="20"/>
              </w:rPr>
              <w:t>Akhangaran</w:t>
            </w:r>
            <w:proofErr w:type="spellEnd"/>
            <w:r w:rsidR="00A71A3E" w:rsidRPr="004C11BB">
              <w:rPr>
                <w:sz w:val="20"/>
                <w:szCs w:val="20"/>
              </w:rPr>
              <w:t xml:space="preserve"> district is foreseen for implementation of investment project with participation of </w:t>
            </w:r>
            <w:proofErr w:type="spellStart"/>
            <w:r w:rsidR="00A71A3E" w:rsidRPr="004C11BB">
              <w:rPr>
                <w:sz w:val="20"/>
                <w:szCs w:val="20"/>
              </w:rPr>
              <w:t>Sejin</w:t>
            </w:r>
            <w:proofErr w:type="spellEnd"/>
            <w:r w:rsidR="00A71A3E" w:rsidRPr="004C11BB">
              <w:rPr>
                <w:sz w:val="20"/>
                <w:szCs w:val="20"/>
              </w:rPr>
              <w:t xml:space="preserve"> G&amp;E Co., Ltd. from South Korea intending to generate electrical power from transformation of landfill gas. The dumpsite closure works shall be implemented under this project and there is no need to spend the ADB loan funds for this works. </w:t>
            </w:r>
          </w:p>
          <w:p w:rsidR="00A71A3E" w:rsidRPr="004C11BB" w:rsidRDefault="00A71A3E" w:rsidP="004C11BB">
            <w:pPr>
              <w:pStyle w:val="af9"/>
              <w:tabs>
                <w:tab w:val="left" w:pos="284"/>
              </w:tabs>
              <w:spacing w:line="240" w:lineRule="auto"/>
              <w:ind w:left="0"/>
              <w:jc w:val="left"/>
              <w:rPr>
                <w:sz w:val="20"/>
                <w:szCs w:val="20"/>
              </w:rPr>
            </w:pPr>
          </w:p>
          <w:p w:rsidR="00A71A3E" w:rsidRPr="004C11BB" w:rsidRDefault="00A71A3E" w:rsidP="004C11BB">
            <w:pPr>
              <w:pStyle w:val="af9"/>
              <w:tabs>
                <w:tab w:val="left" w:pos="284"/>
              </w:tabs>
              <w:spacing w:line="240" w:lineRule="auto"/>
              <w:ind w:left="0"/>
              <w:jc w:val="left"/>
              <w:rPr>
                <w:sz w:val="20"/>
                <w:szCs w:val="20"/>
              </w:rPr>
            </w:pPr>
            <w:r w:rsidRPr="004C11BB">
              <w:rPr>
                <w:sz w:val="20"/>
                <w:szCs w:val="20"/>
              </w:rPr>
              <w:t xml:space="preserve">Secondly, the present design for construction of sanitary landfill on 30 ha in </w:t>
            </w:r>
            <w:proofErr w:type="spellStart"/>
            <w:r w:rsidRPr="004C11BB">
              <w:rPr>
                <w:sz w:val="20"/>
                <w:szCs w:val="20"/>
              </w:rPr>
              <w:t>Akhangaran</w:t>
            </w:r>
            <w:proofErr w:type="spellEnd"/>
            <w:r w:rsidRPr="004C11BB">
              <w:rPr>
                <w:sz w:val="20"/>
                <w:szCs w:val="20"/>
              </w:rPr>
              <w:t xml:space="preserve"> district shall be revised taking into account the technical aspects, in particular waste treatment technologies by using the alternative energy solutions as stipulated in the National Waste Management Strategy for the period 2019 – 2028 approved by the Uzbekistan President Decree No. PP-4291 from 17.04.2019</w:t>
            </w:r>
          </w:p>
          <w:p w:rsidR="00A71A3E" w:rsidRPr="004C11BB" w:rsidRDefault="00A71A3E" w:rsidP="004C11BB">
            <w:pPr>
              <w:pStyle w:val="af9"/>
              <w:tabs>
                <w:tab w:val="left" w:pos="284"/>
              </w:tabs>
              <w:spacing w:line="240" w:lineRule="auto"/>
              <w:ind w:left="0"/>
              <w:jc w:val="left"/>
              <w:rPr>
                <w:sz w:val="20"/>
                <w:szCs w:val="20"/>
              </w:rPr>
            </w:pPr>
          </w:p>
          <w:p w:rsidR="00A71A3E" w:rsidRPr="004C11BB" w:rsidRDefault="00A71A3E" w:rsidP="004C11BB">
            <w:pPr>
              <w:pStyle w:val="af9"/>
              <w:tabs>
                <w:tab w:val="left" w:pos="284"/>
              </w:tabs>
              <w:spacing w:line="240" w:lineRule="auto"/>
              <w:ind w:left="0"/>
              <w:jc w:val="left"/>
              <w:rPr>
                <w:sz w:val="20"/>
                <w:szCs w:val="20"/>
              </w:rPr>
            </w:pPr>
            <w:r w:rsidRPr="004C11BB">
              <w:rPr>
                <w:sz w:val="20"/>
                <w:szCs w:val="20"/>
              </w:rPr>
              <w:t xml:space="preserve">Based on above, TC decided to annul the bid results and to agree with ADB rebidding for construction of new sanitary landfill only. </w:t>
            </w:r>
          </w:p>
          <w:p w:rsidR="0054455E" w:rsidRPr="004C11BB" w:rsidRDefault="0054455E" w:rsidP="004C11BB">
            <w:pPr>
              <w:pStyle w:val="af9"/>
              <w:tabs>
                <w:tab w:val="left" w:pos="284"/>
              </w:tabs>
              <w:spacing w:line="240" w:lineRule="auto"/>
              <w:ind w:left="0"/>
              <w:jc w:val="left"/>
              <w:rPr>
                <w:i/>
                <w:sz w:val="20"/>
                <w:szCs w:val="20"/>
              </w:rPr>
            </w:pPr>
          </w:p>
          <w:p w:rsidR="0054455E" w:rsidRPr="004C11BB" w:rsidRDefault="00A71A3E" w:rsidP="004C11BB">
            <w:pPr>
              <w:pStyle w:val="af9"/>
              <w:tabs>
                <w:tab w:val="left" w:pos="284"/>
              </w:tabs>
              <w:spacing w:line="240" w:lineRule="auto"/>
              <w:ind w:left="0"/>
              <w:jc w:val="left"/>
              <w:rPr>
                <w:i/>
                <w:sz w:val="20"/>
                <w:szCs w:val="20"/>
              </w:rPr>
            </w:pPr>
            <w:r w:rsidRPr="004C11BB">
              <w:rPr>
                <w:i/>
                <w:sz w:val="20"/>
                <w:szCs w:val="20"/>
              </w:rPr>
              <w:t>Notes: Due to restrictions caused by COVID-19 and other urgent tasks of TC, there was a long interruption between the previous meeting from 2 September 2020 and the next meeting on 24 November 2020.</w:t>
            </w:r>
          </w:p>
        </w:tc>
      </w:tr>
      <w:tr w:rsidR="0054455E" w:rsidRPr="00FD1227"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19 December 2020</w:t>
            </w:r>
          </w:p>
        </w:tc>
        <w:tc>
          <w:tcPr>
            <w:tcW w:w="7655" w:type="dxa"/>
            <w:vAlign w:val="center"/>
          </w:tcPr>
          <w:p w:rsidR="0054455E" w:rsidRPr="004C11BB" w:rsidRDefault="00FD1227" w:rsidP="004C11BB">
            <w:pPr>
              <w:pStyle w:val="af9"/>
              <w:tabs>
                <w:tab w:val="left" w:pos="284"/>
              </w:tabs>
              <w:spacing w:line="240" w:lineRule="auto"/>
              <w:ind w:left="0"/>
              <w:jc w:val="left"/>
              <w:rPr>
                <w:sz w:val="20"/>
                <w:szCs w:val="20"/>
              </w:rPr>
            </w:pPr>
            <w:r w:rsidRPr="004C11BB">
              <w:rPr>
                <w:sz w:val="20"/>
                <w:szCs w:val="20"/>
              </w:rPr>
              <w:t>PIU sent to ADB minutes No. 26 of TC meeting from 24 November with decision to annul the bid results and to agree with ADB the revised design and tender documents for rebid the package for construction of new sanitary landfill.</w:t>
            </w:r>
          </w:p>
        </w:tc>
      </w:tr>
      <w:tr w:rsidR="0054455E" w:rsidRPr="00FD1227" w:rsidTr="0054455E">
        <w:tc>
          <w:tcPr>
            <w:tcW w:w="1843" w:type="dxa"/>
            <w:vAlign w:val="center"/>
          </w:tcPr>
          <w:p w:rsidR="0054455E" w:rsidRPr="004C11BB" w:rsidRDefault="0054455E" w:rsidP="004C11BB">
            <w:pPr>
              <w:pStyle w:val="af9"/>
              <w:tabs>
                <w:tab w:val="left" w:pos="284"/>
              </w:tabs>
              <w:spacing w:line="240" w:lineRule="auto"/>
              <w:ind w:left="0"/>
              <w:jc w:val="left"/>
              <w:rPr>
                <w:sz w:val="20"/>
                <w:szCs w:val="20"/>
              </w:rPr>
            </w:pPr>
            <w:r w:rsidRPr="004C11BB">
              <w:rPr>
                <w:sz w:val="20"/>
                <w:szCs w:val="20"/>
              </w:rPr>
              <w:t>22 December 2020</w:t>
            </w:r>
          </w:p>
        </w:tc>
        <w:tc>
          <w:tcPr>
            <w:tcW w:w="7655" w:type="dxa"/>
            <w:vAlign w:val="center"/>
          </w:tcPr>
          <w:p w:rsidR="0054455E" w:rsidRPr="004C11BB" w:rsidRDefault="00FD1227" w:rsidP="004C11BB">
            <w:pPr>
              <w:pStyle w:val="af9"/>
              <w:tabs>
                <w:tab w:val="left" w:pos="284"/>
              </w:tabs>
              <w:spacing w:line="240" w:lineRule="auto"/>
              <w:ind w:left="0"/>
              <w:jc w:val="left"/>
              <w:rPr>
                <w:sz w:val="20"/>
                <w:szCs w:val="20"/>
              </w:rPr>
            </w:pPr>
            <w:r w:rsidRPr="004C11BB">
              <w:rPr>
                <w:sz w:val="20"/>
                <w:szCs w:val="20"/>
              </w:rPr>
              <w:t xml:space="preserve">ADB advised that validity of both bids were expired on 30 September 2020 and currently there are no valid bids. </w:t>
            </w:r>
          </w:p>
        </w:tc>
      </w:tr>
    </w:tbl>
    <w:p w:rsidR="0054455E" w:rsidRPr="00FD1227" w:rsidRDefault="0054455E">
      <w:pPr>
        <w:pStyle w:val="NoSpacing1"/>
        <w:jc w:val="both"/>
        <w:rPr>
          <w:rStyle w:val="Strong1"/>
          <w:b w:val="0"/>
          <w:lang w:val="en-US"/>
        </w:rPr>
      </w:pPr>
    </w:p>
    <w:p w:rsidR="008F2F27" w:rsidRDefault="008F2F27" w:rsidP="008F2F27">
      <w:pPr>
        <w:spacing w:line="240" w:lineRule="auto"/>
        <w:rPr>
          <w:lang w:eastAsia="de-DE"/>
        </w:rPr>
      </w:pPr>
      <w:r>
        <w:rPr>
          <w:lang w:eastAsia="de-DE"/>
        </w:rPr>
        <w:t xml:space="preserve">The Consultant activities performed for this package: </w:t>
      </w:r>
    </w:p>
    <w:p w:rsidR="000068D8" w:rsidRDefault="000068D8" w:rsidP="008F2F27">
      <w:pPr>
        <w:pStyle w:val="af9"/>
        <w:numPr>
          <w:ilvl w:val="0"/>
          <w:numId w:val="6"/>
        </w:numPr>
        <w:spacing w:line="240" w:lineRule="auto"/>
        <w:rPr>
          <w:lang w:eastAsia="de-DE"/>
        </w:rPr>
      </w:pPr>
      <w:r>
        <w:rPr>
          <w:lang w:eastAsia="de-DE"/>
        </w:rPr>
        <w:t>Revision of BER based on comments and recommendations of TC/ADB and also clarification</w:t>
      </w:r>
      <w:r w:rsidR="001E1787">
        <w:rPr>
          <w:lang w:eastAsia="de-DE"/>
        </w:rPr>
        <w:t>s</w:t>
      </w:r>
      <w:r>
        <w:rPr>
          <w:lang w:eastAsia="de-DE"/>
        </w:rPr>
        <w:t xml:space="preserve"> </w:t>
      </w:r>
      <w:r w:rsidR="001E1787">
        <w:rPr>
          <w:lang w:eastAsia="de-DE"/>
        </w:rPr>
        <w:t>from</w:t>
      </w:r>
      <w:r>
        <w:rPr>
          <w:lang w:eastAsia="de-DE"/>
        </w:rPr>
        <w:t xml:space="preserve"> Bidders</w:t>
      </w:r>
    </w:p>
    <w:p w:rsidR="000068D8" w:rsidRDefault="000068D8" w:rsidP="008F2F27">
      <w:pPr>
        <w:pStyle w:val="af9"/>
        <w:numPr>
          <w:ilvl w:val="0"/>
          <w:numId w:val="6"/>
        </w:numPr>
        <w:spacing w:line="240" w:lineRule="auto"/>
        <w:rPr>
          <w:lang w:eastAsia="de-DE"/>
        </w:rPr>
      </w:pPr>
      <w:r>
        <w:rPr>
          <w:lang w:eastAsia="de-DE"/>
        </w:rPr>
        <w:t>Assistance to PIU and IA in communication with local authorities, TC</w:t>
      </w:r>
      <w:r w:rsidR="001E1787">
        <w:rPr>
          <w:lang w:eastAsia="de-DE"/>
        </w:rPr>
        <w:t>,</w:t>
      </w:r>
      <w:r>
        <w:rPr>
          <w:lang w:eastAsia="de-DE"/>
        </w:rPr>
        <w:t xml:space="preserve"> ADB</w:t>
      </w:r>
      <w:r w:rsidR="001E1787">
        <w:rPr>
          <w:lang w:eastAsia="de-DE"/>
        </w:rPr>
        <w:t xml:space="preserve"> and Bidders</w:t>
      </w:r>
    </w:p>
    <w:p w:rsidR="000068D8" w:rsidRDefault="000068D8" w:rsidP="008F2F27">
      <w:pPr>
        <w:pStyle w:val="af9"/>
        <w:numPr>
          <w:ilvl w:val="0"/>
          <w:numId w:val="6"/>
        </w:numPr>
        <w:spacing w:line="240" w:lineRule="auto"/>
        <w:rPr>
          <w:lang w:eastAsia="de-DE"/>
        </w:rPr>
      </w:pPr>
      <w:r>
        <w:rPr>
          <w:lang w:eastAsia="de-DE"/>
        </w:rPr>
        <w:t xml:space="preserve">Drafting clarification requests </w:t>
      </w:r>
      <w:r w:rsidR="00EF5CC2">
        <w:rPr>
          <w:lang w:eastAsia="de-DE"/>
        </w:rPr>
        <w:t xml:space="preserve">and requests for bid extension </w:t>
      </w:r>
      <w:r>
        <w:rPr>
          <w:lang w:eastAsia="de-DE"/>
        </w:rPr>
        <w:t>to Bidders</w:t>
      </w:r>
    </w:p>
    <w:p w:rsidR="000068D8" w:rsidRDefault="00EF5CC2" w:rsidP="008F2F27">
      <w:pPr>
        <w:pStyle w:val="af9"/>
        <w:numPr>
          <w:ilvl w:val="0"/>
          <w:numId w:val="6"/>
        </w:numPr>
        <w:spacing w:line="240" w:lineRule="auto"/>
        <w:rPr>
          <w:lang w:eastAsia="de-DE"/>
        </w:rPr>
      </w:pPr>
      <w:r>
        <w:rPr>
          <w:lang w:eastAsia="de-DE"/>
        </w:rPr>
        <w:t>Reporting to local authorities, EA and IA on status of this procurement package</w:t>
      </w:r>
    </w:p>
    <w:p w:rsidR="0054455E" w:rsidRDefault="0054455E">
      <w:pPr>
        <w:pStyle w:val="NoSpacing1"/>
        <w:jc w:val="both"/>
        <w:rPr>
          <w:rStyle w:val="Strong1"/>
          <w:b w:val="0"/>
          <w:lang w:val="en-US"/>
        </w:rPr>
      </w:pPr>
    </w:p>
    <w:p w:rsidR="007F2166" w:rsidRPr="00FD1227" w:rsidRDefault="007F2166">
      <w:pPr>
        <w:pStyle w:val="NoSpacing1"/>
        <w:jc w:val="both"/>
        <w:rPr>
          <w:rStyle w:val="Strong1"/>
          <w:b w:val="0"/>
          <w:lang w:val="en-US"/>
        </w:rPr>
      </w:pPr>
      <w:r>
        <w:rPr>
          <w:rStyle w:val="Strong1"/>
          <w:b w:val="0"/>
          <w:lang w:val="en-US"/>
        </w:rPr>
        <w:t>Currently, the Ministry of Investments and Foreign Trade and Ministry of Finance are preparing an official request to ADB on rebidding th</w:t>
      </w:r>
      <w:r w:rsidR="00C40C7A">
        <w:rPr>
          <w:rStyle w:val="Strong1"/>
          <w:b w:val="0"/>
          <w:lang w:val="en-US"/>
        </w:rPr>
        <w:t>e</w:t>
      </w:r>
      <w:r>
        <w:rPr>
          <w:rStyle w:val="Strong1"/>
          <w:b w:val="0"/>
          <w:lang w:val="en-US"/>
        </w:rPr>
        <w:t xml:space="preserve"> package </w:t>
      </w:r>
      <w:r w:rsidR="00C40C7A">
        <w:rPr>
          <w:rStyle w:val="Strong1"/>
          <w:b w:val="0"/>
          <w:lang w:val="en-US"/>
        </w:rPr>
        <w:t xml:space="preserve">CW1 </w:t>
      </w:r>
      <w:r>
        <w:rPr>
          <w:rStyle w:val="Strong1"/>
          <w:b w:val="0"/>
          <w:lang w:val="en-US"/>
        </w:rPr>
        <w:t>due to above mentioned reasons and</w:t>
      </w:r>
      <w:r w:rsidR="00903660">
        <w:rPr>
          <w:rStyle w:val="Strong1"/>
          <w:b w:val="0"/>
          <w:lang w:val="en-US"/>
        </w:rPr>
        <w:t xml:space="preserve"> </w:t>
      </w:r>
      <w:r w:rsidR="00C40C7A">
        <w:rPr>
          <w:rStyle w:val="Strong1"/>
          <w:b w:val="0"/>
          <w:lang w:val="en-US"/>
        </w:rPr>
        <w:t xml:space="preserve">the ministries would </w:t>
      </w:r>
      <w:r w:rsidR="009C1C50">
        <w:rPr>
          <w:rStyle w:val="Strong1"/>
          <w:b w:val="0"/>
          <w:lang w:val="en-US"/>
        </w:rPr>
        <w:t xml:space="preserve">like to </w:t>
      </w:r>
      <w:r w:rsidR="00C40C7A">
        <w:rPr>
          <w:rStyle w:val="Strong1"/>
          <w:b w:val="0"/>
          <w:lang w:val="en-US"/>
        </w:rPr>
        <w:t xml:space="preserve">provide to ADB </w:t>
      </w:r>
      <w:r w:rsidR="00903660">
        <w:rPr>
          <w:rStyle w:val="Strong1"/>
          <w:b w:val="0"/>
          <w:lang w:val="en-US"/>
        </w:rPr>
        <w:t xml:space="preserve">clarifications </w:t>
      </w:r>
      <w:r>
        <w:rPr>
          <w:rStyle w:val="Strong1"/>
          <w:b w:val="0"/>
          <w:lang w:val="en-US"/>
        </w:rPr>
        <w:t>about long</w:t>
      </w:r>
      <w:r w:rsidR="00C40C7A">
        <w:rPr>
          <w:rStyle w:val="Strong1"/>
          <w:b w:val="0"/>
          <w:lang w:val="en-US"/>
        </w:rPr>
        <w:t>-time</w:t>
      </w:r>
      <w:r>
        <w:rPr>
          <w:rStyle w:val="Strong1"/>
          <w:b w:val="0"/>
          <w:lang w:val="en-US"/>
        </w:rPr>
        <w:t xml:space="preserve"> bidding process under this </w:t>
      </w:r>
      <w:r w:rsidR="00C40C7A">
        <w:rPr>
          <w:rStyle w:val="Strong1"/>
          <w:b w:val="0"/>
          <w:lang w:val="en-US"/>
        </w:rPr>
        <w:t>package</w:t>
      </w:r>
      <w:r>
        <w:rPr>
          <w:rStyle w:val="Strong1"/>
          <w:b w:val="0"/>
          <w:lang w:val="en-US"/>
        </w:rPr>
        <w:t xml:space="preserve">. </w:t>
      </w:r>
    </w:p>
    <w:p w:rsidR="0054455E" w:rsidRPr="00FD1227" w:rsidRDefault="0054455E">
      <w:pPr>
        <w:pStyle w:val="NoSpacing1"/>
        <w:jc w:val="both"/>
        <w:rPr>
          <w:rStyle w:val="Strong1"/>
          <w:b w:val="0"/>
          <w:lang w:val="en-US"/>
        </w:rPr>
      </w:pPr>
    </w:p>
    <w:p w:rsidR="004E30FF" w:rsidRDefault="004E30FF">
      <w:pPr>
        <w:pStyle w:val="NoSpacing1"/>
        <w:jc w:val="both"/>
      </w:pPr>
      <w:r>
        <w:rPr>
          <w:rStyle w:val="Strong1"/>
        </w:rPr>
        <w:t>CW2 / Transfer Station Rehabilitation</w:t>
      </w:r>
    </w:p>
    <w:p w:rsidR="004C11BB" w:rsidRDefault="00322CDA" w:rsidP="00322CDA">
      <w:pPr>
        <w:pStyle w:val="NoSpacing1"/>
        <w:jc w:val="both"/>
        <w:rPr>
          <w:rStyle w:val="Strong1"/>
          <w:b w:val="0"/>
        </w:rPr>
      </w:pPr>
      <w:r>
        <w:rPr>
          <w:rStyle w:val="Strong1"/>
          <w:b w:val="0"/>
        </w:rPr>
        <w:t xml:space="preserve">Last revised draft of the bidding documents sent to ADB review on 4 June 2020 and on 8 June 2020 ADB has approved the BD. </w:t>
      </w:r>
      <w:r w:rsidRPr="008079A6">
        <w:rPr>
          <w:rStyle w:val="Strong1"/>
          <w:b w:val="0"/>
        </w:rPr>
        <w:t xml:space="preserve">IFB was posted on </w:t>
      </w:r>
      <w:r>
        <w:rPr>
          <w:rStyle w:val="Strong1"/>
          <w:b w:val="0"/>
        </w:rPr>
        <w:t xml:space="preserve">8 June 2020 and </w:t>
      </w:r>
      <w:r w:rsidRPr="008079A6">
        <w:rPr>
          <w:rStyle w:val="Strong1"/>
          <w:b w:val="0"/>
        </w:rPr>
        <w:t xml:space="preserve">on </w:t>
      </w:r>
      <w:r>
        <w:rPr>
          <w:rStyle w:val="Strong1"/>
          <w:b w:val="0"/>
        </w:rPr>
        <w:t>3 August 2020</w:t>
      </w:r>
      <w:r w:rsidRPr="008079A6">
        <w:rPr>
          <w:rStyle w:val="Strong1"/>
          <w:b w:val="0"/>
        </w:rPr>
        <w:t xml:space="preserve">, bid opening was conducted. </w:t>
      </w:r>
      <w:r>
        <w:rPr>
          <w:rStyle w:val="Strong1"/>
          <w:b w:val="0"/>
        </w:rPr>
        <w:t xml:space="preserve">Four bids have been received to the deadline. The contract award under this package is still pending. </w:t>
      </w:r>
      <w:r w:rsidR="004C11BB">
        <w:rPr>
          <w:rStyle w:val="Strong1"/>
          <w:b w:val="0"/>
        </w:rPr>
        <w:t xml:space="preserve">The first draft BER sent to ADB on 11 December 2020. </w:t>
      </w:r>
      <w:r w:rsidR="000E4959">
        <w:rPr>
          <w:rStyle w:val="Strong1"/>
          <w:b w:val="0"/>
        </w:rPr>
        <w:t xml:space="preserve">Since December 2020 </w:t>
      </w:r>
      <w:r w:rsidR="004C11BB">
        <w:rPr>
          <w:rStyle w:val="Strong1"/>
          <w:b w:val="0"/>
        </w:rPr>
        <w:t xml:space="preserve">ADB requested PIU to provide </w:t>
      </w:r>
      <w:r w:rsidR="000E4959">
        <w:rPr>
          <w:rStyle w:val="Strong1"/>
          <w:b w:val="0"/>
        </w:rPr>
        <w:t xml:space="preserve">additional information, </w:t>
      </w:r>
      <w:r w:rsidR="004C11BB">
        <w:rPr>
          <w:rStyle w:val="Strong1"/>
          <w:b w:val="0"/>
        </w:rPr>
        <w:t xml:space="preserve">clarifications and justifications on evaluation of bids. Meanwhile, the bid validity has been extended two times the last extension was till 28 February 2021. </w:t>
      </w:r>
    </w:p>
    <w:p w:rsidR="004C11BB" w:rsidRDefault="004C11BB" w:rsidP="00322CDA">
      <w:pPr>
        <w:pStyle w:val="NoSpacing1"/>
        <w:jc w:val="both"/>
        <w:rPr>
          <w:rStyle w:val="Strong1"/>
          <w:b w:val="0"/>
        </w:rPr>
      </w:pPr>
    </w:p>
    <w:p w:rsidR="004C11BB" w:rsidRDefault="004C11BB" w:rsidP="004C11BB">
      <w:pPr>
        <w:spacing w:line="240" w:lineRule="auto"/>
        <w:rPr>
          <w:lang w:eastAsia="de-DE"/>
        </w:rPr>
      </w:pPr>
      <w:r>
        <w:rPr>
          <w:lang w:eastAsia="de-DE"/>
        </w:rPr>
        <w:t xml:space="preserve">The Consultant activities performed for this package: </w:t>
      </w:r>
    </w:p>
    <w:p w:rsidR="004C11BB" w:rsidRDefault="004C11BB" w:rsidP="004C11BB">
      <w:pPr>
        <w:pStyle w:val="af9"/>
        <w:numPr>
          <w:ilvl w:val="0"/>
          <w:numId w:val="6"/>
        </w:numPr>
        <w:spacing w:line="240" w:lineRule="auto"/>
        <w:rPr>
          <w:lang w:eastAsia="de-DE"/>
        </w:rPr>
      </w:pPr>
      <w:r>
        <w:rPr>
          <w:lang w:eastAsia="de-DE"/>
        </w:rPr>
        <w:t>Preparation/revision of bidding documents including bill of quantities complete</w:t>
      </w:r>
      <w:r w:rsidR="00422681">
        <w:rPr>
          <w:lang w:eastAsia="de-DE"/>
        </w:rPr>
        <w:t>d with design consultants (C</w:t>
      </w:r>
      <w:r>
        <w:rPr>
          <w:lang w:eastAsia="de-DE"/>
        </w:rPr>
        <w:t>7)</w:t>
      </w:r>
    </w:p>
    <w:p w:rsidR="004C11BB" w:rsidRDefault="004C11BB" w:rsidP="004C11BB">
      <w:pPr>
        <w:pStyle w:val="af9"/>
        <w:numPr>
          <w:ilvl w:val="0"/>
          <w:numId w:val="6"/>
        </w:numPr>
        <w:spacing w:line="240" w:lineRule="auto"/>
        <w:rPr>
          <w:lang w:eastAsia="de-DE"/>
        </w:rPr>
      </w:pPr>
      <w:r>
        <w:rPr>
          <w:lang w:eastAsia="de-DE"/>
        </w:rPr>
        <w:t>Preparation of IFB</w:t>
      </w:r>
    </w:p>
    <w:p w:rsidR="004C11BB" w:rsidRDefault="004C11BB" w:rsidP="004C11BB">
      <w:pPr>
        <w:pStyle w:val="af9"/>
        <w:numPr>
          <w:ilvl w:val="0"/>
          <w:numId w:val="6"/>
        </w:numPr>
        <w:spacing w:line="240" w:lineRule="auto"/>
        <w:rPr>
          <w:lang w:eastAsia="de-DE"/>
        </w:rPr>
      </w:pPr>
      <w:r>
        <w:rPr>
          <w:lang w:eastAsia="de-DE"/>
        </w:rPr>
        <w:t>Arrangement of TC meetings for review and approval of BD and IFB</w:t>
      </w:r>
    </w:p>
    <w:p w:rsidR="004C11BB" w:rsidRDefault="004C11BB" w:rsidP="004C11BB">
      <w:pPr>
        <w:pStyle w:val="af9"/>
        <w:numPr>
          <w:ilvl w:val="0"/>
          <w:numId w:val="6"/>
        </w:numPr>
        <w:spacing w:line="240" w:lineRule="auto"/>
        <w:rPr>
          <w:lang w:eastAsia="de-DE"/>
        </w:rPr>
      </w:pPr>
      <w:r>
        <w:rPr>
          <w:lang w:eastAsia="de-DE"/>
        </w:rPr>
        <w:t>Assistance to PIU and IA in communication with local authorities, TC and ADB</w:t>
      </w:r>
    </w:p>
    <w:p w:rsidR="004C11BB" w:rsidRDefault="004C11BB" w:rsidP="004C11BB">
      <w:pPr>
        <w:pStyle w:val="af9"/>
        <w:numPr>
          <w:ilvl w:val="0"/>
          <w:numId w:val="6"/>
        </w:numPr>
        <w:spacing w:line="240" w:lineRule="auto"/>
        <w:rPr>
          <w:lang w:eastAsia="de-DE"/>
        </w:rPr>
      </w:pPr>
      <w:r>
        <w:rPr>
          <w:lang w:eastAsia="de-DE"/>
        </w:rPr>
        <w:t xml:space="preserve">Drafting BER and compilation of all supporting documents and appendices </w:t>
      </w:r>
    </w:p>
    <w:p w:rsidR="004C11BB" w:rsidRDefault="004C11BB" w:rsidP="004C11BB">
      <w:pPr>
        <w:pStyle w:val="af9"/>
        <w:numPr>
          <w:ilvl w:val="0"/>
          <w:numId w:val="6"/>
        </w:numPr>
        <w:spacing w:line="240" w:lineRule="auto"/>
        <w:rPr>
          <w:lang w:eastAsia="de-DE"/>
        </w:rPr>
      </w:pPr>
      <w:r>
        <w:rPr>
          <w:lang w:eastAsia="de-DE"/>
        </w:rPr>
        <w:t>Drafting clarification requests and requests for bid extension to Bidders</w:t>
      </w:r>
    </w:p>
    <w:p w:rsidR="004C11BB" w:rsidRDefault="004C11BB" w:rsidP="004C11BB">
      <w:pPr>
        <w:pStyle w:val="af9"/>
        <w:numPr>
          <w:ilvl w:val="0"/>
          <w:numId w:val="6"/>
        </w:numPr>
        <w:spacing w:line="240" w:lineRule="auto"/>
        <w:rPr>
          <w:lang w:eastAsia="de-DE"/>
        </w:rPr>
      </w:pPr>
      <w:r>
        <w:rPr>
          <w:lang w:eastAsia="de-DE"/>
        </w:rPr>
        <w:t>Reporting to local authorities, EA and IA on status of this procurement package</w:t>
      </w:r>
    </w:p>
    <w:p w:rsidR="004C11BB" w:rsidRDefault="004C11BB" w:rsidP="004C11BB">
      <w:pPr>
        <w:pStyle w:val="NoSpacing1"/>
        <w:jc w:val="both"/>
        <w:rPr>
          <w:rStyle w:val="Strong1"/>
          <w:b w:val="0"/>
          <w:lang w:val="en-US"/>
        </w:rPr>
      </w:pPr>
    </w:p>
    <w:p w:rsidR="004E30FF" w:rsidRDefault="004E30FF">
      <w:pPr>
        <w:pStyle w:val="NoSpacing1"/>
        <w:jc w:val="both"/>
      </w:pPr>
      <w:r>
        <w:rPr>
          <w:rStyle w:val="Strong1"/>
        </w:rPr>
        <w:lastRenderedPageBreak/>
        <w:t>CW4 / Garage Rehabilitation</w:t>
      </w:r>
    </w:p>
    <w:p w:rsidR="000C0137" w:rsidRDefault="00182BF3" w:rsidP="00182BF3">
      <w:pPr>
        <w:pStyle w:val="NoSpacing1"/>
        <w:jc w:val="both"/>
        <w:rPr>
          <w:rStyle w:val="Strong1"/>
          <w:b w:val="0"/>
        </w:rPr>
      </w:pPr>
      <w:r>
        <w:rPr>
          <w:rStyle w:val="Strong1"/>
          <w:b w:val="0"/>
        </w:rPr>
        <w:t xml:space="preserve">Last revised draft of the bidding documents sent to ADB review on </w:t>
      </w:r>
      <w:r w:rsidR="00800B8E">
        <w:rPr>
          <w:rStyle w:val="Strong1"/>
          <w:b w:val="0"/>
        </w:rPr>
        <w:t xml:space="preserve">23 </w:t>
      </w:r>
      <w:r>
        <w:rPr>
          <w:rStyle w:val="Strong1"/>
          <w:b w:val="0"/>
        </w:rPr>
        <w:t xml:space="preserve">June 2020 and </w:t>
      </w:r>
      <w:r w:rsidR="00800B8E">
        <w:rPr>
          <w:rStyle w:val="Strong1"/>
          <w:b w:val="0"/>
        </w:rPr>
        <w:t>on 26</w:t>
      </w:r>
      <w:r>
        <w:rPr>
          <w:rStyle w:val="Strong1"/>
          <w:b w:val="0"/>
        </w:rPr>
        <w:t xml:space="preserve"> June 2020 ADB has approved the BD. </w:t>
      </w:r>
      <w:r w:rsidRPr="008079A6">
        <w:rPr>
          <w:rStyle w:val="Strong1"/>
          <w:b w:val="0"/>
        </w:rPr>
        <w:t xml:space="preserve">IFB was posted on </w:t>
      </w:r>
      <w:r w:rsidR="000E4959">
        <w:rPr>
          <w:rStyle w:val="Strong1"/>
          <w:b w:val="0"/>
        </w:rPr>
        <w:t>25</w:t>
      </w:r>
      <w:r>
        <w:rPr>
          <w:rStyle w:val="Strong1"/>
          <w:b w:val="0"/>
        </w:rPr>
        <w:t xml:space="preserve"> June 2020 and </w:t>
      </w:r>
      <w:r w:rsidRPr="008079A6">
        <w:rPr>
          <w:rStyle w:val="Strong1"/>
          <w:b w:val="0"/>
        </w:rPr>
        <w:t xml:space="preserve">on </w:t>
      </w:r>
      <w:r>
        <w:rPr>
          <w:rStyle w:val="Strong1"/>
          <w:b w:val="0"/>
        </w:rPr>
        <w:t>3 August 2020</w:t>
      </w:r>
      <w:r w:rsidRPr="008079A6">
        <w:rPr>
          <w:rStyle w:val="Strong1"/>
          <w:b w:val="0"/>
        </w:rPr>
        <w:t xml:space="preserve">, bid opening was conducted. </w:t>
      </w:r>
      <w:r w:rsidR="000E4959">
        <w:rPr>
          <w:rStyle w:val="Strong1"/>
          <w:b w:val="0"/>
        </w:rPr>
        <w:t xml:space="preserve">Two </w:t>
      </w:r>
      <w:r>
        <w:rPr>
          <w:rStyle w:val="Strong1"/>
          <w:b w:val="0"/>
        </w:rPr>
        <w:t xml:space="preserve">bids have been received to the deadline. </w:t>
      </w:r>
      <w:r w:rsidR="000C0137">
        <w:rPr>
          <w:rStyle w:val="Strong1"/>
          <w:b w:val="0"/>
        </w:rPr>
        <w:t xml:space="preserve">No-objection letter ADB for contract award has been provided on 4 December 2020. The contract was signed on 7 December 2020 and the works commencement date is 16 December 2020. </w:t>
      </w:r>
      <w:r w:rsidR="00FE537A">
        <w:rPr>
          <w:rStyle w:val="Strong1"/>
          <w:b w:val="0"/>
        </w:rPr>
        <w:t xml:space="preserve">The </w:t>
      </w:r>
      <w:r w:rsidR="00214682">
        <w:rPr>
          <w:rStyle w:val="Strong1"/>
          <w:b w:val="0"/>
        </w:rPr>
        <w:t xml:space="preserve">civil </w:t>
      </w:r>
      <w:r w:rsidR="00FE537A">
        <w:rPr>
          <w:rStyle w:val="Strong1"/>
          <w:b w:val="0"/>
        </w:rPr>
        <w:t>works</w:t>
      </w:r>
      <w:r w:rsidR="000545B5">
        <w:rPr>
          <w:rStyle w:val="Strong1"/>
          <w:b w:val="0"/>
        </w:rPr>
        <w:t xml:space="preserve"> are going on and</w:t>
      </w:r>
      <w:r w:rsidR="00BB5351">
        <w:rPr>
          <w:rStyle w:val="Strong1"/>
          <w:b w:val="0"/>
        </w:rPr>
        <w:t xml:space="preserve"> scheduled for completion </w:t>
      </w:r>
      <w:r w:rsidR="00FE537A">
        <w:rPr>
          <w:rStyle w:val="Strong1"/>
          <w:b w:val="0"/>
        </w:rPr>
        <w:t>by</w:t>
      </w:r>
      <w:r w:rsidR="00637522">
        <w:rPr>
          <w:rStyle w:val="Strong1"/>
          <w:b w:val="0"/>
        </w:rPr>
        <w:t xml:space="preserve"> 30 </w:t>
      </w:r>
      <w:r w:rsidR="00FE537A">
        <w:rPr>
          <w:rStyle w:val="Strong1"/>
          <w:b w:val="0"/>
        </w:rPr>
        <w:t xml:space="preserve">July 2021 or one month earlier. </w:t>
      </w:r>
    </w:p>
    <w:p w:rsidR="000C0137" w:rsidRDefault="000C0137" w:rsidP="00182BF3">
      <w:pPr>
        <w:pStyle w:val="NoSpacing1"/>
        <w:jc w:val="both"/>
        <w:rPr>
          <w:rStyle w:val="Strong1"/>
          <w:b w:val="0"/>
        </w:rPr>
      </w:pPr>
    </w:p>
    <w:p w:rsidR="00182BF3" w:rsidRDefault="00182BF3" w:rsidP="00182BF3">
      <w:pPr>
        <w:spacing w:line="240" w:lineRule="auto"/>
        <w:rPr>
          <w:lang w:eastAsia="de-DE"/>
        </w:rPr>
      </w:pPr>
      <w:r>
        <w:rPr>
          <w:lang w:eastAsia="de-DE"/>
        </w:rPr>
        <w:t xml:space="preserve">The Consultant activities performed for this package: </w:t>
      </w:r>
    </w:p>
    <w:p w:rsidR="00182BF3" w:rsidRDefault="00182BF3" w:rsidP="00182BF3">
      <w:pPr>
        <w:pStyle w:val="af9"/>
        <w:numPr>
          <w:ilvl w:val="0"/>
          <w:numId w:val="6"/>
        </w:numPr>
        <w:spacing w:line="240" w:lineRule="auto"/>
        <w:rPr>
          <w:lang w:eastAsia="de-DE"/>
        </w:rPr>
      </w:pPr>
      <w:r>
        <w:rPr>
          <w:lang w:eastAsia="de-DE"/>
        </w:rPr>
        <w:t>Preparation/revision of bidding documents including bill of quantities completed</w:t>
      </w:r>
      <w:r w:rsidR="00422681">
        <w:rPr>
          <w:lang w:eastAsia="de-DE"/>
        </w:rPr>
        <w:t xml:space="preserve"> with design consultants (C</w:t>
      </w:r>
      <w:r w:rsidR="00637522">
        <w:rPr>
          <w:lang w:eastAsia="de-DE"/>
        </w:rPr>
        <w:t>8</w:t>
      </w:r>
      <w:r>
        <w:rPr>
          <w:lang w:eastAsia="de-DE"/>
        </w:rPr>
        <w:t>)</w:t>
      </w:r>
    </w:p>
    <w:p w:rsidR="00182BF3" w:rsidRDefault="00182BF3" w:rsidP="00182BF3">
      <w:pPr>
        <w:pStyle w:val="af9"/>
        <w:numPr>
          <w:ilvl w:val="0"/>
          <w:numId w:val="6"/>
        </w:numPr>
        <w:spacing w:line="240" w:lineRule="auto"/>
        <w:rPr>
          <w:lang w:eastAsia="de-DE"/>
        </w:rPr>
      </w:pPr>
      <w:r>
        <w:rPr>
          <w:lang w:eastAsia="de-DE"/>
        </w:rPr>
        <w:t>Preparation of IFB</w:t>
      </w:r>
    </w:p>
    <w:p w:rsidR="00182BF3" w:rsidRDefault="00182BF3" w:rsidP="00182BF3">
      <w:pPr>
        <w:pStyle w:val="af9"/>
        <w:numPr>
          <w:ilvl w:val="0"/>
          <w:numId w:val="6"/>
        </w:numPr>
        <w:spacing w:line="240" w:lineRule="auto"/>
        <w:rPr>
          <w:lang w:eastAsia="de-DE"/>
        </w:rPr>
      </w:pPr>
      <w:r>
        <w:rPr>
          <w:lang w:eastAsia="de-DE"/>
        </w:rPr>
        <w:t>Arrangement of TC meetings for review and approval of BD and IFB</w:t>
      </w:r>
    </w:p>
    <w:p w:rsidR="00182BF3" w:rsidRDefault="00182BF3" w:rsidP="00182BF3">
      <w:pPr>
        <w:pStyle w:val="af9"/>
        <w:numPr>
          <w:ilvl w:val="0"/>
          <w:numId w:val="6"/>
        </w:numPr>
        <w:spacing w:line="240" w:lineRule="auto"/>
        <w:rPr>
          <w:lang w:eastAsia="de-DE"/>
        </w:rPr>
      </w:pPr>
      <w:r>
        <w:rPr>
          <w:lang w:eastAsia="de-DE"/>
        </w:rPr>
        <w:t>Assistance to PIU and IA in communication with local authorities, TC and ADB</w:t>
      </w:r>
    </w:p>
    <w:p w:rsidR="00182BF3" w:rsidRDefault="00182BF3" w:rsidP="00182BF3">
      <w:pPr>
        <w:pStyle w:val="af9"/>
        <w:numPr>
          <w:ilvl w:val="0"/>
          <w:numId w:val="6"/>
        </w:numPr>
        <w:spacing w:line="240" w:lineRule="auto"/>
        <w:rPr>
          <w:lang w:eastAsia="de-DE"/>
        </w:rPr>
      </w:pPr>
      <w:r>
        <w:rPr>
          <w:lang w:eastAsia="de-DE"/>
        </w:rPr>
        <w:t xml:space="preserve">Drafting BER and compilation of all supporting documents and appendices </w:t>
      </w:r>
    </w:p>
    <w:p w:rsidR="00182BF3" w:rsidRDefault="00182BF3" w:rsidP="00182BF3">
      <w:pPr>
        <w:pStyle w:val="af9"/>
        <w:numPr>
          <w:ilvl w:val="0"/>
          <w:numId w:val="6"/>
        </w:numPr>
        <w:spacing w:line="240" w:lineRule="auto"/>
        <w:rPr>
          <w:lang w:eastAsia="de-DE"/>
        </w:rPr>
      </w:pPr>
      <w:r>
        <w:rPr>
          <w:lang w:eastAsia="de-DE"/>
        </w:rPr>
        <w:t>Drafting clarification requests to Bidders</w:t>
      </w:r>
    </w:p>
    <w:p w:rsidR="00182BF3" w:rsidRDefault="00182BF3" w:rsidP="00182BF3">
      <w:pPr>
        <w:pStyle w:val="af9"/>
        <w:numPr>
          <w:ilvl w:val="0"/>
          <w:numId w:val="6"/>
        </w:numPr>
        <w:spacing w:line="240" w:lineRule="auto"/>
        <w:rPr>
          <w:lang w:eastAsia="de-DE"/>
        </w:rPr>
      </w:pPr>
      <w:r>
        <w:rPr>
          <w:lang w:eastAsia="de-DE"/>
        </w:rPr>
        <w:t>Reporting to local authorities, EA and IA on status of this procurement package</w:t>
      </w:r>
    </w:p>
    <w:p w:rsidR="00E21854" w:rsidRDefault="00E21854" w:rsidP="00182BF3">
      <w:pPr>
        <w:pStyle w:val="af9"/>
        <w:numPr>
          <w:ilvl w:val="0"/>
          <w:numId w:val="6"/>
        </w:numPr>
        <w:spacing w:line="240" w:lineRule="auto"/>
        <w:rPr>
          <w:lang w:eastAsia="de-DE"/>
        </w:rPr>
      </w:pPr>
      <w:r>
        <w:rPr>
          <w:lang w:eastAsia="de-DE"/>
        </w:rPr>
        <w:t xml:space="preserve">Preparation of contract draft and negotiations </w:t>
      </w:r>
      <w:r w:rsidR="007E09B0">
        <w:rPr>
          <w:lang w:eastAsia="de-DE"/>
        </w:rPr>
        <w:t xml:space="preserve">between </w:t>
      </w:r>
      <w:r>
        <w:rPr>
          <w:lang w:eastAsia="de-DE"/>
        </w:rPr>
        <w:t xml:space="preserve">Contractor and Employer </w:t>
      </w:r>
    </w:p>
    <w:p w:rsidR="00E21854" w:rsidRDefault="00E21854" w:rsidP="00E21854">
      <w:pPr>
        <w:spacing w:line="240" w:lineRule="auto"/>
        <w:rPr>
          <w:lang w:eastAsia="de-DE"/>
        </w:rPr>
      </w:pPr>
    </w:p>
    <w:p w:rsidR="004E30FF" w:rsidRDefault="004E30FF">
      <w:pPr>
        <w:pStyle w:val="NoSpacing1"/>
        <w:rPr>
          <w:highlight w:val="yellow"/>
        </w:rPr>
      </w:pPr>
    </w:p>
    <w:p w:rsidR="004E30FF" w:rsidRDefault="004E30FF">
      <w:pPr>
        <w:pStyle w:val="NoSpacing1"/>
      </w:pPr>
      <w:r>
        <w:rPr>
          <w:b/>
          <w:u w:val="single"/>
          <w:lang w:val="en-US"/>
        </w:rPr>
        <w:t>S</w:t>
      </w:r>
      <w:r w:rsidR="00BD7569">
        <w:rPr>
          <w:b/>
          <w:u w:val="single"/>
          <w:lang w:val="en-US"/>
        </w:rPr>
        <w:t>ERVICES</w:t>
      </w:r>
      <w:r>
        <w:rPr>
          <w:b/>
          <w:u w:val="single"/>
          <w:lang w:val="en-US"/>
        </w:rPr>
        <w:t xml:space="preserve"> packages:</w:t>
      </w:r>
    </w:p>
    <w:p w:rsidR="004E30FF" w:rsidRDefault="004E30FF">
      <w:pPr>
        <w:pStyle w:val="NoSpacing1"/>
        <w:rPr>
          <w:highlight w:val="yellow"/>
        </w:rPr>
      </w:pPr>
    </w:p>
    <w:p w:rsidR="004E30FF" w:rsidRPr="003633F9" w:rsidRDefault="004E30FF" w:rsidP="00AC15EE">
      <w:pPr>
        <w:pStyle w:val="NoSpacing1"/>
        <w:jc w:val="both"/>
        <w:rPr>
          <w:rFonts w:cs="Calibri"/>
        </w:rPr>
      </w:pPr>
      <w:r w:rsidRPr="003633F9">
        <w:rPr>
          <w:rStyle w:val="Strong1"/>
          <w:rFonts w:cs="Calibri"/>
        </w:rPr>
        <w:t>C2 / Sanitary Landfill Design and Supervision</w:t>
      </w:r>
      <w:r w:rsidR="00C04B17">
        <w:rPr>
          <w:rStyle w:val="Strong1"/>
          <w:rFonts w:cs="Calibri"/>
        </w:rPr>
        <w:t xml:space="preserve"> Consultant</w:t>
      </w:r>
    </w:p>
    <w:p w:rsidR="000545B5" w:rsidRDefault="00DE2E70" w:rsidP="00AC15EE">
      <w:pPr>
        <w:pStyle w:val="NoSpacing1"/>
        <w:jc w:val="both"/>
        <w:rPr>
          <w:rFonts w:cs="Calibri"/>
          <w:lang w:val="en-US"/>
        </w:rPr>
      </w:pPr>
      <w:r>
        <w:rPr>
          <w:rFonts w:cs="Calibri"/>
          <w:lang w:val="en-US"/>
        </w:rPr>
        <w:t xml:space="preserve">The Consultant - </w:t>
      </w:r>
      <w:r w:rsidRPr="00DE2E70">
        <w:rPr>
          <w:rFonts w:cs="Calibri"/>
          <w:lang w:val="en-US"/>
        </w:rPr>
        <w:t>China Urban Construction Design &amp; Research Institute Co. Ltd.</w:t>
      </w:r>
      <w:r>
        <w:rPr>
          <w:rFonts w:cs="Calibri"/>
          <w:lang w:val="en-US"/>
        </w:rPr>
        <w:t xml:space="preserve"> </w:t>
      </w:r>
      <w:r w:rsidR="00F5529E">
        <w:rPr>
          <w:rFonts w:cs="Calibri"/>
          <w:lang w:val="en-US"/>
        </w:rPr>
        <w:t xml:space="preserve">(CUCD) </w:t>
      </w:r>
      <w:r>
        <w:rPr>
          <w:rFonts w:cs="Calibri"/>
          <w:lang w:val="en-US"/>
        </w:rPr>
        <w:t xml:space="preserve">in association with </w:t>
      </w:r>
      <w:proofErr w:type="spellStart"/>
      <w:r>
        <w:rPr>
          <w:rFonts w:cs="Calibri"/>
          <w:lang w:val="en-US"/>
        </w:rPr>
        <w:t>Mailc</w:t>
      </w:r>
      <w:proofErr w:type="spellEnd"/>
      <w:r>
        <w:rPr>
          <w:rFonts w:cs="Calibri"/>
          <w:lang w:val="en-US"/>
        </w:rPr>
        <w:t xml:space="preserve"> Engineering </w:t>
      </w:r>
      <w:r w:rsidR="006718CE">
        <w:rPr>
          <w:rFonts w:cs="Calibri"/>
          <w:lang w:val="en-US"/>
        </w:rPr>
        <w:t xml:space="preserve">Ltd. </w:t>
      </w:r>
      <w:r>
        <w:rPr>
          <w:rFonts w:cs="Calibri"/>
          <w:lang w:val="en-US"/>
        </w:rPr>
        <w:t>and</w:t>
      </w:r>
      <w:r w:rsidR="006718CE">
        <w:rPr>
          <w:rFonts w:cs="Calibri"/>
          <w:lang w:val="en-US"/>
        </w:rPr>
        <w:t xml:space="preserve"> private enterprise </w:t>
      </w:r>
      <w:r>
        <w:rPr>
          <w:rFonts w:cs="Calibri"/>
          <w:lang w:val="en-US"/>
        </w:rPr>
        <w:t xml:space="preserve">TMM ARH has completed the first phase of assignment – elaboration of </w:t>
      </w:r>
      <w:r w:rsidR="006718CE">
        <w:rPr>
          <w:rFonts w:cs="Calibri"/>
          <w:lang w:val="en-US"/>
        </w:rPr>
        <w:t xml:space="preserve">detailed design for new landfill establishment and closure of </w:t>
      </w:r>
      <w:r w:rsidR="00D46F43">
        <w:rPr>
          <w:rFonts w:cs="Calibri"/>
          <w:lang w:val="en-US"/>
        </w:rPr>
        <w:t xml:space="preserve">dumpsite </w:t>
      </w:r>
      <w:r w:rsidR="001F5B8A">
        <w:rPr>
          <w:rFonts w:cs="Calibri"/>
          <w:lang w:val="en-US"/>
        </w:rPr>
        <w:t xml:space="preserve">- the </w:t>
      </w:r>
      <w:r w:rsidR="00D46F43">
        <w:rPr>
          <w:rFonts w:cs="Calibri"/>
          <w:lang w:val="en-US"/>
        </w:rPr>
        <w:t xml:space="preserve">both </w:t>
      </w:r>
      <w:r w:rsidR="001F5B8A">
        <w:rPr>
          <w:rFonts w:cs="Calibri"/>
          <w:lang w:val="en-US"/>
        </w:rPr>
        <w:t xml:space="preserve">sites </w:t>
      </w:r>
      <w:r w:rsidR="00D46F43">
        <w:rPr>
          <w:rFonts w:cs="Calibri"/>
          <w:lang w:val="en-US"/>
        </w:rPr>
        <w:t xml:space="preserve">located in </w:t>
      </w:r>
      <w:proofErr w:type="spellStart"/>
      <w:r w:rsidR="00D46F43">
        <w:rPr>
          <w:rFonts w:cs="Calibri"/>
          <w:lang w:val="en-US"/>
        </w:rPr>
        <w:t>Akhangaran</w:t>
      </w:r>
      <w:proofErr w:type="spellEnd"/>
      <w:r w:rsidR="00D46F43">
        <w:rPr>
          <w:rFonts w:cs="Calibri"/>
          <w:lang w:val="en-US"/>
        </w:rPr>
        <w:t xml:space="preserve"> district of Tashkent region. </w:t>
      </w:r>
      <w:r w:rsidR="00264391">
        <w:rPr>
          <w:rFonts w:cs="Calibri"/>
          <w:lang w:val="en-US"/>
        </w:rPr>
        <w:t xml:space="preserve">Due to significant delay with selection of contractor under package CW1 the continuation of the supervision services </w:t>
      </w:r>
      <w:r w:rsidR="00FA74A1">
        <w:rPr>
          <w:rFonts w:cs="Calibri"/>
          <w:lang w:val="en-US"/>
        </w:rPr>
        <w:t xml:space="preserve">(the second phase of assignment) </w:t>
      </w:r>
      <w:r w:rsidR="007E2BAB">
        <w:rPr>
          <w:rFonts w:cs="Calibri"/>
          <w:lang w:val="en-US"/>
        </w:rPr>
        <w:t xml:space="preserve">was not possible during the reporting period. </w:t>
      </w:r>
    </w:p>
    <w:p w:rsidR="000545B5" w:rsidRDefault="000545B5" w:rsidP="00AC15EE">
      <w:pPr>
        <w:pStyle w:val="NoSpacing1"/>
        <w:jc w:val="both"/>
        <w:rPr>
          <w:rFonts w:cs="Calibri"/>
          <w:lang w:val="en-US"/>
        </w:rPr>
      </w:pPr>
    </w:p>
    <w:p w:rsidR="00E966A8" w:rsidRDefault="00957B64" w:rsidP="00AC15EE">
      <w:pPr>
        <w:pStyle w:val="NoSpacing1"/>
        <w:jc w:val="both"/>
        <w:rPr>
          <w:rFonts w:cs="Calibri"/>
          <w:lang w:val="en-US"/>
        </w:rPr>
      </w:pPr>
      <w:r>
        <w:rPr>
          <w:rFonts w:cs="Calibri"/>
          <w:lang w:val="en-US"/>
        </w:rPr>
        <w:t xml:space="preserve">In the meantime, </w:t>
      </w:r>
      <w:r w:rsidR="00F5529E">
        <w:rPr>
          <w:rFonts w:cs="Calibri"/>
          <w:lang w:val="en-US"/>
        </w:rPr>
        <w:t xml:space="preserve">the Consultant has requested to sign the Amendment No.2 to the Contract </w:t>
      </w:r>
      <w:r w:rsidR="001E79A5">
        <w:rPr>
          <w:rFonts w:cs="Calibri"/>
          <w:lang w:val="en-US"/>
        </w:rPr>
        <w:t>in order to get t</w:t>
      </w:r>
      <w:r w:rsidR="001E79A5" w:rsidRPr="001E79A5">
        <w:rPr>
          <w:rFonts w:cs="Calibri"/>
          <w:lang w:val="en-US"/>
        </w:rPr>
        <w:t>he pending payments to the Consultant for completion of the design work, totaling $365,875.84, consisting of remuneration amounting to $301,186.81 and reimbursable costs amounting to $39,610.51</w:t>
      </w:r>
      <w:r w:rsidR="001E79A5">
        <w:rPr>
          <w:rFonts w:cs="Calibri"/>
          <w:lang w:val="en-US"/>
        </w:rPr>
        <w:t xml:space="preserve">. The provided Amendment includes </w:t>
      </w:r>
      <w:r w:rsidR="00F5529E">
        <w:rPr>
          <w:rFonts w:cs="Calibri"/>
          <w:lang w:val="en-US"/>
        </w:rPr>
        <w:t>reallocation of field input to home input of key specialists of CUCD due to higher key staff efforts at home during the design phase, reallocation of reimbursable costs and advance payment conditions for the supervision phase of the project. The Consultant has requested also to increase by 1.5 months the international key input for th</w:t>
      </w:r>
      <w:r w:rsidR="008A2B46">
        <w:rPr>
          <w:rFonts w:cs="Calibri"/>
          <w:lang w:val="en-US"/>
        </w:rPr>
        <w:t xml:space="preserve">e forthcoming supervision </w:t>
      </w:r>
      <w:r w:rsidR="00F5529E">
        <w:rPr>
          <w:rFonts w:cs="Calibri"/>
          <w:lang w:val="en-US"/>
        </w:rPr>
        <w:t>phase</w:t>
      </w:r>
      <w:r w:rsidR="00780247">
        <w:rPr>
          <w:rFonts w:cs="Calibri"/>
          <w:lang w:val="en-US"/>
        </w:rPr>
        <w:t xml:space="preserve"> and to extend the service period for 12 months since 7 December 2020.</w:t>
      </w:r>
    </w:p>
    <w:p w:rsidR="008A2B46" w:rsidRDefault="008A2B46" w:rsidP="00AC15EE">
      <w:pPr>
        <w:pStyle w:val="NoSpacing1"/>
        <w:jc w:val="both"/>
        <w:rPr>
          <w:rFonts w:cs="Calibri"/>
          <w:lang w:val="en-US"/>
        </w:rPr>
      </w:pPr>
    </w:p>
    <w:p w:rsidR="001E79A5" w:rsidRDefault="008A2B46" w:rsidP="00AC15EE">
      <w:pPr>
        <w:pStyle w:val="NoSpacing1"/>
        <w:jc w:val="both"/>
        <w:rPr>
          <w:rFonts w:cs="Calibri"/>
          <w:lang w:val="en-US"/>
        </w:rPr>
      </w:pPr>
      <w:r>
        <w:rPr>
          <w:rFonts w:cs="Calibri"/>
          <w:lang w:val="en-US"/>
        </w:rPr>
        <w:t xml:space="preserve">Review and approval of draft Amendment No. 2 was pending </w:t>
      </w:r>
      <w:r w:rsidR="00250733">
        <w:rPr>
          <w:rFonts w:cs="Calibri"/>
          <w:lang w:val="en-US"/>
        </w:rPr>
        <w:t xml:space="preserve">by the Client </w:t>
      </w:r>
      <w:r>
        <w:rPr>
          <w:rFonts w:cs="Calibri"/>
          <w:lang w:val="en-US"/>
        </w:rPr>
        <w:t xml:space="preserve">until December 2020 and after </w:t>
      </w:r>
      <w:r w:rsidR="00250733">
        <w:rPr>
          <w:rFonts w:cs="Calibri"/>
          <w:lang w:val="en-US"/>
        </w:rPr>
        <w:t xml:space="preserve">appeal </w:t>
      </w:r>
      <w:r w:rsidR="00780247">
        <w:rPr>
          <w:rFonts w:cs="Calibri"/>
          <w:lang w:val="en-US"/>
        </w:rPr>
        <w:t xml:space="preserve">letter </w:t>
      </w:r>
      <w:r w:rsidR="00250733">
        <w:rPr>
          <w:rFonts w:cs="Calibri"/>
          <w:lang w:val="en-US"/>
        </w:rPr>
        <w:t xml:space="preserve">of CUCD </w:t>
      </w:r>
      <w:r w:rsidR="00780247">
        <w:rPr>
          <w:rFonts w:cs="Calibri"/>
          <w:lang w:val="en-US"/>
        </w:rPr>
        <w:t xml:space="preserve">sent </w:t>
      </w:r>
      <w:r w:rsidR="00250733">
        <w:rPr>
          <w:rFonts w:cs="Calibri"/>
          <w:lang w:val="en-US"/>
        </w:rPr>
        <w:t xml:space="preserve">to the Government of Uzbekistan, the </w:t>
      </w:r>
      <w:r>
        <w:rPr>
          <w:rFonts w:cs="Calibri"/>
          <w:lang w:val="en-US"/>
        </w:rPr>
        <w:t>Cli</w:t>
      </w:r>
      <w:r w:rsidR="00250733">
        <w:rPr>
          <w:rFonts w:cs="Calibri"/>
          <w:lang w:val="en-US"/>
        </w:rPr>
        <w:t xml:space="preserve">ent has agreed with the Consultant to </w:t>
      </w:r>
      <w:r w:rsidR="000365EA">
        <w:rPr>
          <w:rFonts w:cs="Calibri"/>
          <w:lang w:val="en-US"/>
        </w:rPr>
        <w:t>amend the contract, in</w:t>
      </w:r>
      <w:r w:rsidR="00917B32">
        <w:rPr>
          <w:rFonts w:cs="Calibri"/>
          <w:lang w:val="en-US"/>
        </w:rPr>
        <w:t xml:space="preserve"> case of: </w:t>
      </w:r>
      <w:r w:rsidR="000365EA">
        <w:rPr>
          <w:rFonts w:cs="Calibri"/>
          <w:lang w:val="en-US"/>
        </w:rPr>
        <w:t>positive legal opinion from independent lawyers</w:t>
      </w:r>
      <w:r w:rsidR="00917B32">
        <w:rPr>
          <w:rFonts w:cs="Calibri"/>
          <w:lang w:val="en-US"/>
        </w:rPr>
        <w:t>;</w:t>
      </w:r>
      <w:r w:rsidR="000365EA">
        <w:rPr>
          <w:rFonts w:cs="Calibri"/>
          <w:lang w:val="en-US"/>
        </w:rPr>
        <w:t xml:space="preserve"> approval by local authority and ADB. </w:t>
      </w:r>
      <w:r w:rsidR="00917B32">
        <w:rPr>
          <w:rFonts w:cs="Calibri"/>
          <w:lang w:val="en-US"/>
        </w:rPr>
        <w:t>During the reporting period, the Consultant’s services were in stand-by status</w:t>
      </w:r>
      <w:r w:rsidR="00780247">
        <w:rPr>
          <w:rFonts w:cs="Calibri"/>
          <w:lang w:val="en-US"/>
        </w:rPr>
        <w:t xml:space="preserve">. </w:t>
      </w:r>
      <w:r w:rsidR="0033427F">
        <w:rPr>
          <w:rFonts w:cs="Calibri"/>
          <w:lang w:val="en-US"/>
        </w:rPr>
        <w:t>Now, t</w:t>
      </w:r>
      <w:r w:rsidR="00780247">
        <w:rPr>
          <w:rFonts w:cs="Calibri"/>
          <w:lang w:val="en-US"/>
        </w:rPr>
        <w:t xml:space="preserve">he Service period can be extended </w:t>
      </w:r>
      <w:r w:rsidR="0086012C">
        <w:rPr>
          <w:rFonts w:cs="Calibri"/>
          <w:lang w:val="en-US"/>
        </w:rPr>
        <w:t xml:space="preserve">till 30 June 2021 </w:t>
      </w:r>
      <w:r w:rsidR="0033427F">
        <w:rPr>
          <w:rFonts w:cs="Calibri"/>
          <w:lang w:val="en-US"/>
        </w:rPr>
        <w:t xml:space="preserve">only </w:t>
      </w:r>
      <w:r w:rsidR="0086012C">
        <w:rPr>
          <w:rFonts w:cs="Calibri"/>
          <w:lang w:val="en-US"/>
        </w:rPr>
        <w:t>– Loan Closing Date that was recommended by MIFT during review of the first draft Amendment No.2.</w:t>
      </w:r>
      <w:r w:rsidR="001E79A5">
        <w:rPr>
          <w:rFonts w:cs="Calibri"/>
          <w:lang w:val="en-US"/>
        </w:rPr>
        <w:t xml:space="preserve"> </w:t>
      </w:r>
    </w:p>
    <w:p w:rsidR="001E79A5" w:rsidRDefault="001E79A5" w:rsidP="00AC15EE">
      <w:pPr>
        <w:pStyle w:val="NoSpacing1"/>
        <w:jc w:val="both"/>
        <w:rPr>
          <w:rFonts w:cs="Calibri"/>
          <w:lang w:val="en-US"/>
        </w:rPr>
      </w:pPr>
    </w:p>
    <w:p w:rsidR="00FA24C5" w:rsidRDefault="001E79A5" w:rsidP="00AC15EE">
      <w:pPr>
        <w:pStyle w:val="NoSpacing1"/>
        <w:jc w:val="both"/>
        <w:rPr>
          <w:rFonts w:cs="Calibri"/>
          <w:lang w:val="en-US"/>
        </w:rPr>
      </w:pPr>
      <w:r>
        <w:rPr>
          <w:rFonts w:cs="Calibri"/>
          <w:lang w:val="en-US"/>
        </w:rPr>
        <w:t xml:space="preserve">The legal opinion to draft Amendment No.2 has been obtained from independent local lawyers on 3 December 2020. Further, this </w:t>
      </w:r>
      <w:r w:rsidR="00FA24C5">
        <w:rPr>
          <w:rFonts w:cs="Calibri"/>
          <w:lang w:val="en-US"/>
        </w:rPr>
        <w:t xml:space="preserve">Amendment to the Contract can be signed </w:t>
      </w:r>
      <w:r>
        <w:rPr>
          <w:rFonts w:cs="Calibri"/>
          <w:lang w:val="en-US"/>
        </w:rPr>
        <w:t xml:space="preserve">by the parties </w:t>
      </w:r>
      <w:r w:rsidR="00FA24C5">
        <w:rPr>
          <w:rFonts w:cs="Calibri"/>
          <w:lang w:val="en-US"/>
        </w:rPr>
        <w:t>after approval by MIFT and ADB</w:t>
      </w:r>
      <w:r>
        <w:rPr>
          <w:rFonts w:cs="Calibri"/>
          <w:lang w:val="en-US"/>
        </w:rPr>
        <w:t xml:space="preserve">. </w:t>
      </w:r>
    </w:p>
    <w:p w:rsidR="001A049E" w:rsidRDefault="001A049E" w:rsidP="00AC15EE">
      <w:pPr>
        <w:pStyle w:val="NoSpacing1"/>
        <w:jc w:val="both"/>
        <w:rPr>
          <w:rFonts w:cs="Calibri"/>
          <w:lang w:val="en-US"/>
        </w:rPr>
      </w:pPr>
    </w:p>
    <w:p w:rsidR="004E30FF" w:rsidRPr="003633F9" w:rsidRDefault="004E30FF" w:rsidP="00AC15EE">
      <w:pPr>
        <w:pStyle w:val="NoSpacing1"/>
        <w:jc w:val="both"/>
        <w:rPr>
          <w:rFonts w:cs="Calibri"/>
        </w:rPr>
      </w:pPr>
      <w:r w:rsidRPr="003633F9">
        <w:rPr>
          <w:rStyle w:val="Strong1"/>
          <w:rFonts w:cs="Calibri"/>
        </w:rPr>
        <w:t xml:space="preserve">C3 / Capacity Development Program Consultant </w:t>
      </w:r>
    </w:p>
    <w:p w:rsidR="001A049E" w:rsidRDefault="001A049E" w:rsidP="007C497F">
      <w:pPr>
        <w:spacing w:line="240" w:lineRule="auto"/>
        <w:rPr>
          <w:rFonts w:cs="Calibri"/>
          <w:lang w:val="en-GB"/>
        </w:rPr>
      </w:pPr>
      <w:r>
        <w:rPr>
          <w:rFonts w:cs="Calibri"/>
          <w:lang w:val="en-GB"/>
        </w:rPr>
        <w:t xml:space="preserve">The CDP Consultant has completed its services by end of December 2019. The final report and deliverables have been provided to the Client’s review during January-March 2020. In April 2020 the </w:t>
      </w:r>
      <w:r>
        <w:rPr>
          <w:rFonts w:cs="Calibri"/>
          <w:lang w:val="en-GB"/>
        </w:rPr>
        <w:lastRenderedPageBreak/>
        <w:t xml:space="preserve">Consultant has submitted its final invoice which was paid in August 2020. </w:t>
      </w:r>
      <w:r w:rsidR="00F22B66">
        <w:rPr>
          <w:rFonts w:cs="Calibri"/>
          <w:lang w:val="en-GB"/>
        </w:rPr>
        <w:t xml:space="preserve">The contract was completed with the final amount of $1,216,134.56 and the unused amount is </w:t>
      </w:r>
      <w:r w:rsidR="00F22B66" w:rsidRPr="00F22B66">
        <w:rPr>
          <w:rFonts w:cs="Calibri"/>
          <w:lang w:val="en-GB"/>
        </w:rPr>
        <w:t>$161,465.44</w:t>
      </w:r>
      <w:r w:rsidR="00F22B66">
        <w:rPr>
          <w:rFonts w:cs="Calibri"/>
          <w:lang w:val="en-GB"/>
        </w:rPr>
        <w:t xml:space="preserve">. </w:t>
      </w:r>
    </w:p>
    <w:p w:rsidR="004E30FF" w:rsidRDefault="004E30FF">
      <w:pPr>
        <w:spacing w:line="240" w:lineRule="auto"/>
        <w:rPr>
          <w:highlight w:val="yellow"/>
        </w:rPr>
      </w:pPr>
    </w:p>
    <w:p w:rsidR="004E30FF" w:rsidRDefault="008519E1">
      <w:pPr>
        <w:spacing w:line="240" w:lineRule="auto"/>
      </w:pPr>
      <w:r>
        <w:rPr>
          <w:b/>
        </w:rPr>
        <w:t>C6</w:t>
      </w:r>
      <w:r w:rsidR="00C04B17">
        <w:rPr>
          <w:b/>
        </w:rPr>
        <w:t xml:space="preserve"> / PIU Audit Consultant</w:t>
      </w:r>
      <w:r>
        <w:rPr>
          <w:b/>
        </w:rPr>
        <w:t xml:space="preserve"> for the period 2018 - 2021</w:t>
      </w:r>
    </w:p>
    <w:p w:rsidR="0055460D" w:rsidRDefault="0055460D">
      <w:pPr>
        <w:pStyle w:val="NoSpacing1"/>
        <w:jc w:val="both"/>
        <w:rPr>
          <w:rFonts w:cs="Calibri"/>
          <w:lang w:val="en-US"/>
        </w:rPr>
      </w:pPr>
      <w:r>
        <w:rPr>
          <w:rFonts w:cs="Calibri"/>
          <w:lang w:val="en-US"/>
        </w:rPr>
        <w:t xml:space="preserve">The contract for audit of PIU accounts during 2018 – 2021 has been concluded with BDO Tajikistan LLC on 15 August 2019. </w:t>
      </w:r>
      <w:r w:rsidR="00BD7300">
        <w:rPr>
          <w:rFonts w:cs="Calibri"/>
          <w:lang w:val="en-US"/>
        </w:rPr>
        <w:t xml:space="preserve">The contract implementation is scheduled till September 2021 – aiming to audit of the Project accounts till the Loan Closing Period (30 June 2021). During the reporting period the Consultant has conducted audit of Project accounts for FY 2019 and provided Auditor’s report and Management Letter </w:t>
      </w:r>
      <w:r w:rsidR="00F00868">
        <w:rPr>
          <w:rFonts w:cs="Calibri"/>
          <w:lang w:val="en-US"/>
        </w:rPr>
        <w:t xml:space="preserve">to </w:t>
      </w:r>
      <w:r w:rsidR="00BD7300">
        <w:rPr>
          <w:rFonts w:cs="Calibri"/>
          <w:lang w:val="en-US"/>
        </w:rPr>
        <w:t>the Project Financial Statement for this year.</w:t>
      </w:r>
      <w:r w:rsidR="00F00868">
        <w:rPr>
          <w:rFonts w:cs="Calibri"/>
          <w:lang w:val="en-US"/>
        </w:rPr>
        <w:t xml:space="preserve"> </w:t>
      </w:r>
      <w:r w:rsidR="00123A1F">
        <w:rPr>
          <w:rFonts w:cs="Calibri"/>
          <w:lang w:val="en-US"/>
        </w:rPr>
        <w:t>On 27 July 2020 t</w:t>
      </w:r>
      <w:r w:rsidR="00F00868">
        <w:rPr>
          <w:rFonts w:cs="Calibri"/>
          <w:lang w:val="en-US"/>
        </w:rPr>
        <w:t xml:space="preserve">he ADB has </w:t>
      </w:r>
      <w:r w:rsidR="00123A1F">
        <w:rPr>
          <w:rFonts w:cs="Calibri"/>
          <w:lang w:val="en-US"/>
        </w:rPr>
        <w:t>provided its letter with the following conclusion: “</w:t>
      </w:r>
      <w:r w:rsidR="00123A1F" w:rsidRPr="00123A1F">
        <w:rPr>
          <w:rFonts w:cs="Calibri"/>
          <w:i/>
          <w:lang w:val="en-US"/>
        </w:rPr>
        <w:t>We have reviewed the APFS for the captioned project and found the unqualified opinion on the APFS acceptable. We note that there is no opinion provided and unaudited figures were used in the computation of the financial covenants</w:t>
      </w:r>
      <w:r w:rsidR="00123A1F">
        <w:rPr>
          <w:rFonts w:cs="Calibri"/>
          <w:lang w:val="en-US"/>
        </w:rPr>
        <w:t>”</w:t>
      </w:r>
      <w:r w:rsidR="00123A1F" w:rsidRPr="00123A1F">
        <w:rPr>
          <w:rFonts w:cs="Calibri"/>
          <w:lang w:val="en-US"/>
        </w:rPr>
        <w:t>.</w:t>
      </w:r>
    </w:p>
    <w:p w:rsidR="0055460D" w:rsidRDefault="0055460D">
      <w:pPr>
        <w:pStyle w:val="NoSpacing1"/>
        <w:jc w:val="both"/>
        <w:rPr>
          <w:rFonts w:cs="Calibri"/>
          <w:lang w:val="en-US"/>
        </w:rPr>
      </w:pPr>
    </w:p>
    <w:p w:rsidR="004E30FF" w:rsidRDefault="004E30FF">
      <w:pPr>
        <w:pStyle w:val="NoSpacing1"/>
        <w:jc w:val="both"/>
      </w:pPr>
      <w:r>
        <w:rPr>
          <w:rFonts w:cs="Calibri"/>
          <w:b/>
          <w:lang w:val="en-US"/>
        </w:rPr>
        <w:t>C7 / Transfer Station Rehabilitation Design and Supervision Consultants</w:t>
      </w:r>
    </w:p>
    <w:p w:rsidR="005243D2" w:rsidRDefault="007153B2">
      <w:pPr>
        <w:pStyle w:val="NoSpacing1"/>
        <w:jc w:val="both"/>
        <w:rPr>
          <w:rFonts w:cs="Calibri"/>
          <w:lang w:val="en-US"/>
        </w:rPr>
      </w:pPr>
      <w:r>
        <w:rPr>
          <w:rFonts w:cs="Calibri"/>
          <w:lang w:val="en-US"/>
        </w:rPr>
        <w:t xml:space="preserve">The assignment consists of two main phases: detailed design and works supervision. </w:t>
      </w:r>
      <w:r w:rsidR="00AF6EF8">
        <w:rPr>
          <w:rFonts w:cs="Calibri"/>
          <w:lang w:val="en-US"/>
        </w:rPr>
        <w:t xml:space="preserve">After signing the Contract </w:t>
      </w:r>
      <w:r w:rsidR="00487AEB">
        <w:rPr>
          <w:rFonts w:cs="Calibri"/>
          <w:lang w:val="en-US"/>
        </w:rPr>
        <w:t xml:space="preserve">with the local company “Quality Planning” LLC </w:t>
      </w:r>
      <w:r w:rsidR="00AF6EF8">
        <w:rPr>
          <w:rFonts w:cs="Calibri"/>
          <w:lang w:val="en-US"/>
        </w:rPr>
        <w:t xml:space="preserve">in August 2019 and commencement of design services </w:t>
      </w:r>
      <w:r>
        <w:rPr>
          <w:rFonts w:cs="Calibri"/>
          <w:lang w:val="en-US"/>
        </w:rPr>
        <w:t xml:space="preserve">in </w:t>
      </w:r>
      <w:r w:rsidR="00AF6EF8">
        <w:rPr>
          <w:rFonts w:cs="Calibri"/>
          <w:lang w:val="en-US"/>
        </w:rPr>
        <w:t xml:space="preserve">September 2019 the Consultant could complete its design works by </w:t>
      </w:r>
      <w:r w:rsidR="00406B77">
        <w:rPr>
          <w:rFonts w:cs="Calibri"/>
          <w:lang w:val="en-US"/>
        </w:rPr>
        <w:t>April 2020</w:t>
      </w:r>
      <w:r>
        <w:rPr>
          <w:rFonts w:cs="Calibri"/>
          <w:lang w:val="en-US"/>
        </w:rPr>
        <w:t xml:space="preserve">. </w:t>
      </w:r>
      <w:r w:rsidR="005F107A">
        <w:rPr>
          <w:rFonts w:cs="Calibri"/>
          <w:lang w:val="en-US"/>
        </w:rPr>
        <w:t xml:space="preserve">Based on engineering design and cost estimate documentation the PIU Consultant and PIU has prepared the bidding documents for the procurement package CW2 - Transfer Station Rehabilitation. </w:t>
      </w:r>
    </w:p>
    <w:p w:rsidR="005243D2" w:rsidRDefault="005243D2">
      <w:pPr>
        <w:pStyle w:val="NoSpacing1"/>
        <w:jc w:val="both"/>
        <w:rPr>
          <w:rFonts w:cs="Calibri"/>
          <w:lang w:val="en-US"/>
        </w:rPr>
      </w:pPr>
    </w:p>
    <w:p w:rsidR="00AF6EF8" w:rsidRDefault="005F107A">
      <w:pPr>
        <w:pStyle w:val="NoSpacing1"/>
        <w:jc w:val="both"/>
        <w:rPr>
          <w:rFonts w:cs="Calibri"/>
          <w:lang w:val="en-US"/>
        </w:rPr>
      </w:pPr>
      <w:r>
        <w:rPr>
          <w:rFonts w:cs="Calibri"/>
          <w:lang w:val="en-US"/>
        </w:rPr>
        <w:t xml:space="preserve">The estimated cost after detailed design was $7.0 million, as included in the Project Procurement Plan. </w:t>
      </w:r>
      <w:r w:rsidR="007153B2">
        <w:rPr>
          <w:rFonts w:cs="Calibri"/>
          <w:lang w:val="en-US"/>
        </w:rPr>
        <w:t xml:space="preserve">The current status: services are stand-by, the Consultant waiting for selection of </w:t>
      </w:r>
      <w:r w:rsidR="00BF17E2">
        <w:rPr>
          <w:rFonts w:cs="Calibri"/>
          <w:lang w:val="en-US"/>
        </w:rPr>
        <w:t xml:space="preserve">the </w:t>
      </w:r>
      <w:r w:rsidR="007153B2">
        <w:rPr>
          <w:rFonts w:cs="Calibri"/>
          <w:lang w:val="en-US"/>
        </w:rPr>
        <w:t xml:space="preserve">Contractor under CW2 </w:t>
      </w:r>
      <w:r w:rsidR="00821467">
        <w:rPr>
          <w:rFonts w:cs="Calibri"/>
          <w:lang w:val="en-US"/>
        </w:rPr>
        <w:t>to provide its supervision services</w:t>
      </w:r>
      <w:r w:rsidR="007153B2">
        <w:rPr>
          <w:rFonts w:cs="Calibri"/>
          <w:lang w:val="en-US"/>
        </w:rPr>
        <w:t>.</w:t>
      </w:r>
      <w:r w:rsidR="00BF17E2">
        <w:rPr>
          <w:rFonts w:cs="Calibri"/>
          <w:lang w:val="en-US"/>
        </w:rPr>
        <w:t xml:space="preserve"> </w:t>
      </w:r>
      <w:r w:rsidR="00B4590F">
        <w:rPr>
          <w:rFonts w:cs="Calibri"/>
          <w:lang w:val="en-US"/>
        </w:rPr>
        <w:t>Selection status of CW2, please see in item above (</w:t>
      </w:r>
      <w:r w:rsidR="00B4590F" w:rsidRPr="00B4590F">
        <w:rPr>
          <w:rFonts w:cs="Calibri"/>
          <w:lang w:val="en-US"/>
        </w:rPr>
        <w:t>CW2 / Transfer Station Rehabilitation</w:t>
      </w:r>
      <w:r w:rsidR="00B4590F">
        <w:rPr>
          <w:rFonts w:cs="Calibri"/>
          <w:lang w:val="en-US"/>
        </w:rPr>
        <w:t>).</w:t>
      </w:r>
    </w:p>
    <w:p w:rsidR="00AF6EF8" w:rsidRDefault="00AF6EF8">
      <w:pPr>
        <w:pStyle w:val="NoSpacing1"/>
        <w:jc w:val="both"/>
        <w:rPr>
          <w:rFonts w:cs="Calibri"/>
          <w:lang w:val="en-US"/>
        </w:rPr>
      </w:pPr>
    </w:p>
    <w:p w:rsidR="004E30FF" w:rsidRDefault="004E30FF">
      <w:pPr>
        <w:pStyle w:val="NoSpacing1"/>
        <w:jc w:val="both"/>
      </w:pPr>
      <w:r>
        <w:rPr>
          <w:rFonts w:cs="Calibri"/>
          <w:b/>
          <w:lang w:val="en-US"/>
        </w:rPr>
        <w:t>C8 / Garage Rehabilitation Design and Supervision Consultants</w:t>
      </w:r>
    </w:p>
    <w:p w:rsidR="005F107A" w:rsidRDefault="00821467">
      <w:pPr>
        <w:pStyle w:val="NoSpacing1"/>
        <w:jc w:val="both"/>
        <w:rPr>
          <w:rFonts w:cs="Calibri"/>
          <w:lang w:val="en-US"/>
        </w:rPr>
      </w:pPr>
      <w:r>
        <w:rPr>
          <w:rFonts w:cs="Calibri"/>
          <w:lang w:val="en-US"/>
        </w:rPr>
        <w:t xml:space="preserve">The assignment consists of two main phases: detailed design and works supervision. After signing the Contract </w:t>
      </w:r>
      <w:r w:rsidR="00487AEB">
        <w:rPr>
          <w:rFonts w:cs="Calibri"/>
          <w:lang w:val="en-US"/>
        </w:rPr>
        <w:t xml:space="preserve">with the local company “Quality Planning” LLC </w:t>
      </w:r>
      <w:r>
        <w:rPr>
          <w:rFonts w:cs="Calibri"/>
          <w:lang w:val="en-US"/>
        </w:rPr>
        <w:t xml:space="preserve">in August 2019 and commencement of design services in September 2019 the Consultant could complete its design works by April 2020. </w:t>
      </w:r>
      <w:r w:rsidR="001E70BF">
        <w:rPr>
          <w:rFonts w:cs="Calibri"/>
          <w:lang w:val="en-US"/>
        </w:rPr>
        <w:t xml:space="preserve">Based on engineering design and cost estimate documentation the PIU Consultant and PIU has prepared the bidding documents for the procurement package CW4 – Garage Station Rehabilitation. </w:t>
      </w:r>
    </w:p>
    <w:p w:rsidR="005F107A" w:rsidRDefault="005F107A">
      <w:pPr>
        <w:pStyle w:val="NoSpacing1"/>
        <w:jc w:val="both"/>
        <w:rPr>
          <w:rFonts w:cs="Calibri"/>
          <w:lang w:val="en-US"/>
        </w:rPr>
      </w:pPr>
    </w:p>
    <w:p w:rsidR="00B10666" w:rsidRDefault="00CB3FF8">
      <w:pPr>
        <w:pStyle w:val="NoSpacing1"/>
        <w:jc w:val="both"/>
        <w:rPr>
          <w:rFonts w:cs="Calibri"/>
          <w:lang w:val="en-US"/>
        </w:rPr>
      </w:pPr>
      <w:r>
        <w:rPr>
          <w:rFonts w:cs="Calibri"/>
          <w:lang w:val="en-US"/>
        </w:rPr>
        <w:t xml:space="preserve">To be noted that the estimated cost after detailed design was calculated at about $1.0 million that is more by $221,000 </w:t>
      </w:r>
      <w:r w:rsidR="008C453D">
        <w:rPr>
          <w:rFonts w:cs="Calibri"/>
          <w:lang w:val="en-US"/>
        </w:rPr>
        <w:t xml:space="preserve">as per </w:t>
      </w:r>
      <w:r>
        <w:rPr>
          <w:rFonts w:cs="Calibri"/>
          <w:lang w:val="en-US"/>
        </w:rPr>
        <w:t>the Project Procurement Plan.</w:t>
      </w:r>
      <w:r w:rsidR="00E40076">
        <w:rPr>
          <w:rFonts w:cs="Calibri"/>
          <w:lang w:val="en-US"/>
        </w:rPr>
        <w:t xml:space="preserve"> </w:t>
      </w:r>
      <w:r w:rsidR="00B10666">
        <w:rPr>
          <w:rFonts w:cs="Calibri"/>
          <w:lang w:val="en-US"/>
        </w:rPr>
        <w:t>ADB and Maxsustrans have agreed to increase the initial budget for CW4 package</w:t>
      </w:r>
      <w:r w:rsidR="00400C4D">
        <w:rPr>
          <w:rFonts w:cs="Calibri"/>
          <w:lang w:val="en-US"/>
        </w:rPr>
        <w:t>,</w:t>
      </w:r>
      <w:r w:rsidR="00B10666">
        <w:rPr>
          <w:rFonts w:cs="Calibri"/>
          <w:lang w:val="en-US"/>
        </w:rPr>
        <w:t xml:space="preserve"> because</w:t>
      </w:r>
      <w:r w:rsidR="00400C4D">
        <w:rPr>
          <w:rFonts w:cs="Calibri"/>
          <w:lang w:val="en-US"/>
        </w:rPr>
        <w:t xml:space="preserve"> currently </w:t>
      </w:r>
      <w:r w:rsidR="00B10666">
        <w:rPr>
          <w:rFonts w:cs="Calibri"/>
          <w:lang w:val="en-US"/>
        </w:rPr>
        <w:t xml:space="preserve">under the Loan category “Civil Works” there are </w:t>
      </w:r>
      <w:r w:rsidR="00400C4D">
        <w:rPr>
          <w:rFonts w:cs="Calibri"/>
          <w:lang w:val="en-US"/>
        </w:rPr>
        <w:t xml:space="preserve">available loan proceeds due to </w:t>
      </w:r>
      <w:r w:rsidR="00B10666">
        <w:rPr>
          <w:rFonts w:cs="Calibri"/>
          <w:lang w:val="en-US"/>
        </w:rPr>
        <w:t>no</w:t>
      </w:r>
      <w:r w:rsidR="00400C4D">
        <w:rPr>
          <w:rFonts w:cs="Calibri"/>
          <w:lang w:val="en-US"/>
        </w:rPr>
        <w:t>ne</w:t>
      </w:r>
      <w:r w:rsidR="00B10666">
        <w:rPr>
          <w:rFonts w:cs="Calibri"/>
          <w:lang w:val="en-US"/>
        </w:rPr>
        <w:t xml:space="preserve"> awarded contracts and disbursements. </w:t>
      </w:r>
      <w:r w:rsidR="00E40076">
        <w:rPr>
          <w:rFonts w:cs="Calibri"/>
          <w:lang w:val="en-US"/>
        </w:rPr>
        <w:t xml:space="preserve">Tender for selection of the Contractor CW4 was completed and on 7 December 2020 Maxsustrans has signed the Contract for Garage rehabilitation works for the total amount of $957,285 in equivalent. </w:t>
      </w:r>
    </w:p>
    <w:p w:rsidR="00B10666" w:rsidRDefault="00B10666">
      <w:pPr>
        <w:pStyle w:val="NoSpacing1"/>
        <w:jc w:val="both"/>
        <w:rPr>
          <w:rFonts w:cs="Calibri"/>
          <w:lang w:val="en-US"/>
        </w:rPr>
      </w:pPr>
    </w:p>
    <w:p w:rsidR="00AA26B4" w:rsidRDefault="009349E3">
      <w:pPr>
        <w:pStyle w:val="NoSpacing1"/>
        <w:jc w:val="both"/>
        <w:rPr>
          <w:rFonts w:cs="Calibri"/>
          <w:lang w:val="en-US"/>
        </w:rPr>
      </w:pPr>
      <w:r>
        <w:rPr>
          <w:rFonts w:cs="Calibri"/>
          <w:lang w:val="en-US"/>
        </w:rPr>
        <w:t>The Contractor (local construction company “Indigo Baraka Service”</w:t>
      </w:r>
      <w:r w:rsidR="0026051A">
        <w:rPr>
          <w:rFonts w:cs="Calibri"/>
          <w:lang w:val="en-US"/>
        </w:rPr>
        <w:t xml:space="preserve"> Ltd.</w:t>
      </w:r>
      <w:r>
        <w:rPr>
          <w:rFonts w:cs="Calibri"/>
          <w:lang w:val="en-US"/>
        </w:rPr>
        <w:t xml:space="preserve">) has notified the Employer about starting the </w:t>
      </w:r>
      <w:r w:rsidR="00AA26B4">
        <w:rPr>
          <w:rFonts w:cs="Calibri"/>
          <w:lang w:val="en-US"/>
        </w:rPr>
        <w:t xml:space="preserve">civil </w:t>
      </w:r>
      <w:r>
        <w:rPr>
          <w:rFonts w:cs="Calibri"/>
          <w:lang w:val="en-US"/>
        </w:rPr>
        <w:t xml:space="preserve">works </w:t>
      </w:r>
      <w:r w:rsidR="00AA26B4">
        <w:rPr>
          <w:rFonts w:cs="Calibri"/>
          <w:lang w:val="en-US"/>
        </w:rPr>
        <w:t xml:space="preserve">in </w:t>
      </w:r>
      <w:proofErr w:type="spellStart"/>
      <w:r w:rsidR="00AA26B4">
        <w:rPr>
          <w:rFonts w:cs="Calibri"/>
          <w:lang w:val="en-US"/>
        </w:rPr>
        <w:t>Marabad</w:t>
      </w:r>
      <w:proofErr w:type="spellEnd"/>
      <w:r w:rsidR="00AA26B4">
        <w:rPr>
          <w:rFonts w:cs="Calibri"/>
          <w:lang w:val="en-US"/>
        </w:rPr>
        <w:t xml:space="preserve"> </w:t>
      </w:r>
      <w:r w:rsidR="000776F4">
        <w:rPr>
          <w:rFonts w:cs="Calibri"/>
          <w:lang w:val="en-US"/>
        </w:rPr>
        <w:t xml:space="preserve">District </w:t>
      </w:r>
      <w:r w:rsidR="00AA26B4">
        <w:rPr>
          <w:rFonts w:cs="Calibri"/>
          <w:lang w:val="en-US"/>
        </w:rPr>
        <w:t xml:space="preserve">Garage on </w:t>
      </w:r>
      <w:r w:rsidR="00E40076">
        <w:rPr>
          <w:rFonts w:cs="Calibri"/>
          <w:lang w:val="en-US"/>
        </w:rPr>
        <w:t>16 De</w:t>
      </w:r>
      <w:r>
        <w:rPr>
          <w:rFonts w:cs="Calibri"/>
          <w:lang w:val="en-US"/>
        </w:rPr>
        <w:t>cember 2020.</w:t>
      </w:r>
      <w:r w:rsidR="00AA26B4">
        <w:rPr>
          <w:rFonts w:cs="Calibri"/>
          <w:lang w:val="en-US"/>
        </w:rPr>
        <w:t xml:space="preserve"> </w:t>
      </w:r>
      <w:r w:rsidR="00CB3FF8">
        <w:rPr>
          <w:rFonts w:cs="Calibri"/>
          <w:lang w:val="en-US"/>
        </w:rPr>
        <w:t xml:space="preserve">The current status: </w:t>
      </w:r>
      <w:r w:rsidR="00AA26B4">
        <w:rPr>
          <w:rFonts w:cs="Calibri"/>
          <w:lang w:val="en-US"/>
        </w:rPr>
        <w:t xml:space="preserve">the Consultant providing </w:t>
      </w:r>
      <w:r w:rsidR="0054374B">
        <w:rPr>
          <w:rFonts w:cs="Calibri"/>
          <w:lang w:val="en-US"/>
        </w:rPr>
        <w:t>supervision services by its Civil Engineer, who is Project Manager under the Contract CW4. Completion of supervision services is scheduled by June/July 2021.</w:t>
      </w:r>
    </w:p>
    <w:p w:rsidR="000032FC" w:rsidRDefault="000032FC">
      <w:pPr>
        <w:pStyle w:val="NoSpacing1"/>
        <w:jc w:val="both"/>
        <w:rPr>
          <w:rFonts w:cs="Calibri"/>
          <w:lang w:val="en-US"/>
        </w:rPr>
      </w:pPr>
    </w:p>
    <w:p w:rsidR="001D7991" w:rsidRDefault="001D7991">
      <w:pPr>
        <w:pStyle w:val="NoSpacing1"/>
        <w:jc w:val="both"/>
        <w:rPr>
          <w:rFonts w:cs="Calibri"/>
          <w:lang w:val="en-US"/>
        </w:rPr>
      </w:pPr>
    </w:p>
    <w:p w:rsidR="004E30FF" w:rsidRDefault="004E30FF">
      <w:pPr>
        <w:pStyle w:val="2"/>
        <w:numPr>
          <w:ilvl w:val="1"/>
          <w:numId w:val="5"/>
        </w:numPr>
        <w:spacing w:before="0"/>
      </w:pPr>
      <w:bookmarkStart w:id="13" w:name="_Toc64301502"/>
      <w:bookmarkStart w:id="14" w:name="_Hlk497232912"/>
      <w:bookmarkEnd w:id="4"/>
      <w:r>
        <w:t xml:space="preserve">Construction Supervision </w:t>
      </w:r>
      <w:r w:rsidR="00963F9E">
        <w:t xml:space="preserve">&amp; </w:t>
      </w:r>
      <w:r>
        <w:t>Monitoring (TOR Task C)</w:t>
      </w:r>
      <w:bookmarkEnd w:id="13"/>
    </w:p>
    <w:p w:rsidR="004E30FF" w:rsidRDefault="004E30FF">
      <w:pPr>
        <w:spacing w:line="240" w:lineRule="auto"/>
      </w:pPr>
    </w:p>
    <w:p w:rsidR="000C4AAB" w:rsidRDefault="000C4AAB">
      <w:pPr>
        <w:spacing w:line="240" w:lineRule="auto"/>
      </w:pPr>
      <w:r>
        <w:t>Under this task t</w:t>
      </w:r>
      <w:r w:rsidRPr="000C4AAB">
        <w:t xml:space="preserve">he Consultant </w:t>
      </w:r>
      <w:r>
        <w:t xml:space="preserve">shall </w:t>
      </w:r>
      <w:r w:rsidRPr="000C4AAB">
        <w:t>assist the PIU and</w:t>
      </w:r>
      <w:r>
        <w:t xml:space="preserve"> Maxsustrans</w:t>
      </w:r>
      <w:r w:rsidRPr="000C4AAB">
        <w:t xml:space="preserve"> with the oversight of all the construction activities particularly of the civil works packages. These</w:t>
      </w:r>
      <w:r>
        <w:t xml:space="preserve"> shall </w:t>
      </w:r>
      <w:r w:rsidRPr="000C4AAB">
        <w:t>include: (</w:t>
      </w:r>
      <w:proofErr w:type="spellStart"/>
      <w:r w:rsidRPr="000C4AAB">
        <w:t>i</w:t>
      </w:r>
      <w:proofErr w:type="spellEnd"/>
      <w:r w:rsidRPr="000C4AAB">
        <w:t>) review and quality control of the design and other documents and monitoring the works that are performed in conformity to the approved designs, (ii) develop and implement construction quality assurance program, (iii) monitor contractors work schedule, (iv) monitor supply activities particularly with Uzbekistan Customs Clearances, and (v) address shortcoming in any of these areas.</w:t>
      </w:r>
    </w:p>
    <w:p w:rsidR="007D11C2" w:rsidRDefault="007D11C2">
      <w:pPr>
        <w:spacing w:line="240" w:lineRule="auto"/>
      </w:pPr>
    </w:p>
    <w:p w:rsidR="007D11C2" w:rsidRDefault="007D11C2">
      <w:pPr>
        <w:spacing w:line="240" w:lineRule="auto"/>
      </w:pPr>
      <w:r>
        <w:rPr>
          <w:rStyle w:val="Strong1"/>
        </w:rPr>
        <w:lastRenderedPageBreak/>
        <w:t>CW4 / Garage Rehabilitation works</w:t>
      </w:r>
    </w:p>
    <w:p w:rsidR="0047051D" w:rsidRDefault="0026051A">
      <w:pPr>
        <w:spacing w:line="240" w:lineRule="auto"/>
        <w:rPr>
          <w:rFonts w:cs="Calibri"/>
        </w:rPr>
      </w:pPr>
      <w:r>
        <w:t xml:space="preserve">The PIU Consultant started its services under this task after commencement of civil works by the Contractor </w:t>
      </w:r>
      <w:r>
        <w:rPr>
          <w:rFonts w:cs="Calibri"/>
        </w:rPr>
        <w:t xml:space="preserve">“Indigo Baraka Service” Ltd. on 16 December 2020. </w:t>
      </w:r>
      <w:r w:rsidR="00EC73FF">
        <w:rPr>
          <w:rFonts w:cs="Calibri"/>
        </w:rPr>
        <w:t xml:space="preserve">The Consultant has employed </w:t>
      </w:r>
      <w:r w:rsidR="00FE3C4F">
        <w:rPr>
          <w:rFonts w:cs="Calibri"/>
        </w:rPr>
        <w:t xml:space="preserve">a local </w:t>
      </w:r>
      <w:r w:rsidR="00EC73FF">
        <w:rPr>
          <w:rFonts w:cs="Calibri"/>
        </w:rPr>
        <w:t xml:space="preserve">Supervision Specialist Mr. </w:t>
      </w:r>
      <w:proofErr w:type="spellStart"/>
      <w:r w:rsidR="00EC73FF">
        <w:rPr>
          <w:rFonts w:cs="Calibri"/>
        </w:rPr>
        <w:t>Jalolitdin</w:t>
      </w:r>
      <w:proofErr w:type="spellEnd"/>
      <w:r w:rsidR="00EC73FF">
        <w:rPr>
          <w:rFonts w:cs="Calibri"/>
        </w:rPr>
        <w:t xml:space="preserve"> </w:t>
      </w:r>
      <w:proofErr w:type="spellStart"/>
      <w:r w:rsidR="00EC73FF">
        <w:rPr>
          <w:rFonts w:cs="Calibri"/>
        </w:rPr>
        <w:t>Nabiev</w:t>
      </w:r>
      <w:proofErr w:type="spellEnd"/>
      <w:r w:rsidR="00FE3C4F">
        <w:rPr>
          <w:rFonts w:cs="Calibri"/>
        </w:rPr>
        <w:t xml:space="preserve"> (</w:t>
      </w:r>
      <w:r w:rsidR="00227A2C">
        <w:rPr>
          <w:rFonts w:cs="Calibri"/>
        </w:rPr>
        <w:t>Non-key expert acc. to Contract</w:t>
      </w:r>
      <w:r w:rsidR="00FE3C4F">
        <w:rPr>
          <w:rFonts w:cs="Calibri"/>
        </w:rPr>
        <w:t>)</w:t>
      </w:r>
      <w:r w:rsidR="00EC73FF">
        <w:rPr>
          <w:rFonts w:cs="Calibri"/>
        </w:rPr>
        <w:t xml:space="preserve">, who will be responsible for implementation of this task C and </w:t>
      </w:r>
      <w:r w:rsidR="00FE3C4F">
        <w:rPr>
          <w:rFonts w:cs="Calibri"/>
        </w:rPr>
        <w:t>reporting on current</w:t>
      </w:r>
      <w:r w:rsidR="00EC73FF">
        <w:rPr>
          <w:rFonts w:cs="Calibri"/>
        </w:rPr>
        <w:t xml:space="preserve"> progress and issues. </w:t>
      </w:r>
      <w:r w:rsidR="00035FA8">
        <w:rPr>
          <w:rFonts w:cs="Calibri"/>
        </w:rPr>
        <w:t>From t</w:t>
      </w:r>
      <w:r w:rsidR="00566250">
        <w:rPr>
          <w:rFonts w:cs="Calibri"/>
        </w:rPr>
        <w:t xml:space="preserve">he first days </w:t>
      </w:r>
      <w:r w:rsidR="00487AEB">
        <w:rPr>
          <w:rFonts w:cs="Calibri"/>
        </w:rPr>
        <w:t xml:space="preserve">Mr. </w:t>
      </w:r>
      <w:proofErr w:type="spellStart"/>
      <w:r w:rsidR="00487AEB">
        <w:rPr>
          <w:rFonts w:cs="Calibri"/>
        </w:rPr>
        <w:t>Nabiev</w:t>
      </w:r>
      <w:proofErr w:type="spellEnd"/>
      <w:r w:rsidR="00487AEB">
        <w:rPr>
          <w:rFonts w:cs="Calibri"/>
        </w:rPr>
        <w:t xml:space="preserve"> is in close contact </w:t>
      </w:r>
      <w:r w:rsidR="00E66786">
        <w:rPr>
          <w:rFonts w:cs="Calibri"/>
        </w:rPr>
        <w:t xml:space="preserve">and coordination </w:t>
      </w:r>
      <w:r w:rsidR="00487AEB">
        <w:rPr>
          <w:rFonts w:cs="Calibri"/>
        </w:rPr>
        <w:t>with the Contractor</w:t>
      </w:r>
      <w:r w:rsidR="00566250">
        <w:rPr>
          <w:rFonts w:cs="Calibri"/>
        </w:rPr>
        <w:t>’s representatives</w:t>
      </w:r>
      <w:r w:rsidR="00487AEB">
        <w:rPr>
          <w:rFonts w:cs="Calibri"/>
        </w:rPr>
        <w:t xml:space="preserve"> and Project Manager of the </w:t>
      </w:r>
      <w:r w:rsidR="00497EC2">
        <w:rPr>
          <w:rFonts w:cs="Calibri"/>
        </w:rPr>
        <w:t>Design and Supervision Consultant - “Quality Planning” LLC</w:t>
      </w:r>
      <w:r w:rsidR="00E66786">
        <w:rPr>
          <w:rFonts w:cs="Calibri"/>
        </w:rPr>
        <w:t xml:space="preserve">. </w:t>
      </w:r>
    </w:p>
    <w:p w:rsidR="0047051D" w:rsidRDefault="0047051D">
      <w:pPr>
        <w:spacing w:line="240" w:lineRule="auto"/>
        <w:rPr>
          <w:rFonts w:cs="Calibri"/>
        </w:rPr>
      </w:pPr>
    </w:p>
    <w:p w:rsidR="00121730" w:rsidRDefault="000776F4">
      <w:pPr>
        <w:spacing w:line="240" w:lineRule="auto"/>
        <w:rPr>
          <w:rFonts w:cs="Calibri"/>
        </w:rPr>
      </w:pPr>
      <w:r>
        <w:rPr>
          <w:rFonts w:cs="Calibri"/>
        </w:rPr>
        <w:t>The Contractor started with demolition of existing buildings and facilities acc. to design</w:t>
      </w:r>
      <w:r w:rsidR="00D36F13">
        <w:rPr>
          <w:rFonts w:cs="Calibri"/>
        </w:rPr>
        <w:t xml:space="preserve"> plan</w:t>
      </w:r>
      <w:r w:rsidR="00047CCA">
        <w:rPr>
          <w:rFonts w:cs="Calibri"/>
        </w:rPr>
        <w:t xml:space="preserve"> </w:t>
      </w:r>
      <w:r>
        <w:rPr>
          <w:rFonts w:cs="Calibri"/>
        </w:rPr>
        <w:t xml:space="preserve">of </w:t>
      </w:r>
      <w:proofErr w:type="spellStart"/>
      <w:r>
        <w:rPr>
          <w:rFonts w:cs="Calibri"/>
        </w:rPr>
        <w:t>Mirabad</w:t>
      </w:r>
      <w:proofErr w:type="spellEnd"/>
      <w:r>
        <w:rPr>
          <w:rFonts w:cs="Calibri"/>
        </w:rPr>
        <w:t xml:space="preserve"> District Garage.</w:t>
      </w:r>
      <w:r w:rsidR="00047CCA">
        <w:rPr>
          <w:rFonts w:cs="Calibri"/>
        </w:rPr>
        <w:t xml:space="preserve"> </w:t>
      </w:r>
      <w:r w:rsidR="00C423D6">
        <w:rPr>
          <w:rFonts w:cs="Calibri"/>
        </w:rPr>
        <w:t xml:space="preserve">Mr. </w:t>
      </w:r>
      <w:proofErr w:type="spellStart"/>
      <w:r w:rsidR="00C423D6">
        <w:rPr>
          <w:rFonts w:cs="Calibri"/>
        </w:rPr>
        <w:t>Nabiev</w:t>
      </w:r>
      <w:proofErr w:type="spellEnd"/>
      <w:r w:rsidR="00C423D6">
        <w:rPr>
          <w:rFonts w:cs="Calibri"/>
        </w:rPr>
        <w:t xml:space="preserve"> is supervising the construction works quality, occupational safety measures and monitoring compliancy with the following work schedules prepared by the Contractor:</w:t>
      </w:r>
    </w:p>
    <w:p w:rsidR="004A49A8" w:rsidRDefault="004A49A8">
      <w:pPr>
        <w:spacing w:line="240" w:lineRule="auto"/>
        <w:rPr>
          <w:rFonts w:cs="Calibri"/>
        </w:rPr>
      </w:pPr>
    </w:p>
    <w:tbl>
      <w:tblPr>
        <w:tblStyle w:val="TableNormal1"/>
        <w:tblW w:w="850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3827"/>
        <w:gridCol w:w="1823"/>
        <w:gridCol w:w="2004"/>
      </w:tblGrid>
      <w:tr w:rsidR="001B2586" w:rsidRPr="004A49A8" w:rsidTr="0047051D">
        <w:trPr>
          <w:trHeight w:val="381"/>
        </w:trPr>
        <w:tc>
          <w:tcPr>
            <w:tcW w:w="851" w:type="dxa"/>
            <w:tcBorders>
              <w:left w:val="single" w:sz="8" w:space="0" w:color="000000"/>
              <w:right w:val="single" w:sz="8" w:space="0" w:color="000000"/>
            </w:tcBorders>
            <w:shd w:val="clear" w:color="auto" w:fill="A6A6A6" w:themeFill="background1" w:themeFillShade="A6"/>
            <w:vAlign w:val="center"/>
          </w:tcPr>
          <w:p w:rsidR="001B2586" w:rsidRPr="004A49A8" w:rsidRDefault="001B2586" w:rsidP="00454A88">
            <w:pPr>
              <w:pStyle w:val="TableParagraph"/>
              <w:tabs>
                <w:tab w:val="left" w:pos="-4678"/>
              </w:tabs>
              <w:ind w:left="156" w:right="142" w:firstLine="14"/>
              <w:jc w:val="center"/>
              <w:rPr>
                <w:rFonts w:ascii="Calibri" w:hAnsi="Calibri" w:cs="Arial"/>
                <w:b/>
                <w:sz w:val="20"/>
                <w:szCs w:val="20"/>
              </w:rPr>
            </w:pPr>
            <w:r w:rsidRPr="004A49A8">
              <w:rPr>
                <w:rFonts w:ascii="Calibri" w:hAnsi="Calibri" w:cs="Arial"/>
                <w:b/>
                <w:w w:val="105"/>
                <w:sz w:val="20"/>
                <w:szCs w:val="20"/>
                <w:lang w:val="ru-RU"/>
              </w:rPr>
              <w:t>№</w:t>
            </w:r>
          </w:p>
        </w:tc>
        <w:tc>
          <w:tcPr>
            <w:tcW w:w="3827" w:type="dxa"/>
            <w:tcBorders>
              <w:left w:val="single" w:sz="8" w:space="0" w:color="000000"/>
              <w:right w:val="single" w:sz="8" w:space="0" w:color="000000"/>
            </w:tcBorders>
            <w:shd w:val="clear" w:color="auto" w:fill="A6A6A6" w:themeFill="background1" w:themeFillShade="A6"/>
            <w:vAlign w:val="center"/>
          </w:tcPr>
          <w:p w:rsidR="001B2586" w:rsidRPr="004A49A8" w:rsidRDefault="001B2586" w:rsidP="00454A88">
            <w:pPr>
              <w:pStyle w:val="TableParagraph"/>
              <w:tabs>
                <w:tab w:val="left" w:pos="-4678"/>
              </w:tabs>
              <w:ind w:left="142"/>
              <w:jc w:val="center"/>
              <w:rPr>
                <w:rFonts w:ascii="Calibri" w:hAnsi="Calibri" w:cs="Arial"/>
                <w:b/>
                <w:sz w:val="20"/>
                <w:szCs w:val="20"/>
              </w:rPr>
            </w:pPr>
            <w:r w:rsidRPr="004A49A8">
              <w:rPr>
                <w:rFonts w:ascii="Calibri" w:hAnsi="Calibri" w:cs="Arial"/>
                <w:b/>
                <w:sz w:val="20"/>
                <w:szCs w:val="20"/>
              </w:rPr>
              <w:t>Description of Works</w:t>
            </w:r>
          </w:p>
        </w:tc>
        <w:tc>
          <w:tcPr>
            <w:tcW w:w="1823" w:type="dxa"/>
            <w:tcBorders>
              <w:left w:val="single" w:sz="8" w:space="0" w:color="000000"/>
            </w:tcBorders>
            <w:shd w:val="clear" w:color="auto" w:fill="A6A6A6" w:themeFill="background1" w:themeFillShade="A6"/>
            <w:vAlign w:val="center"/>
          </w:tcPr>
          <w:p w:rsidR="001B2586" w:rsidRPr="004A49A8" w:rsidRDefault="001B2586" w:rsidP="001B2586">
            <w:pPr>
              <w:pStyle w:val="TableParagraph"/>
              <w:tabs>
                <w:tab w:val="left" w:pos="-4678"/>
              </w:tabs>
              <w:ind w:left="142" w:right="122"/>
              <w:jc w:val="center"/>
              <w:rPr>
                <w:rFonts w:ascii="Calibri" w:hAnsi="Calibri" w:cs="Arial"/>
                <w:b/>
                <w:sz w:val="20"/>
                <w:szCs w:val="20"/>
                <w:lang w:val="ru-RU"/>
              </w:rPr>
            </w:pPr>
            <w:r w:rsidRPr="004A49A8">
              <w:rPr>
                <w:rFonts w:ascii="Calibri" w:hAnsi="Calibri" w:cs="Arial"/>
                <w:b/>
                <w:sz w:val="20"/>
                <w:szCs w:val="20"/>
              </w:rPr>
              <w:t>Starting date</w:t>
            </w:r>
          </w:p>
        </w:tc>
        <w:tc>
          <w:tcPr>
            <w:tcW w:w="2004" w:type="dxa"/>
            <w:tcBorders>
              <w:right w:val="single" w:sz="8" w:space="0" w:color="000000"/>
            </w:tcBorders>
            <w:shd w:val="clear" w:color="auto" w:fill="A6A6A6" w:themeFill="background1" w:themeFillShade="A6"/>
            <w:vAlign w:val="center"/>
          </w:tcPr>
          <w:p w:rsidR="001B2586" w:rsidRPr="004A49A8" w:rsidRDefault="001B2586" w:rsidP="00454A88">
            <w:pPr>
              <w:pStyle w:val="TableParagraph"/>
              <w:tabs>
                <w:tab w:val="left" w:pos="-4678"/>
              </w:tabs>
              <w:ind w:left="162"/>
              <w:jc w:val="center"/>
              <w:rPr>
                <w:rFonts w:ascii="Calibri" w:hAnsi="Calibri" w:cs="Arial"/>
                <w:b/>
                <w:sz w:val="20"/>
                <w:szCs w:val="20"/>
              </w:rPr>
            </w:pPr>
            <w:r w:rsidRPr="004A49A8">
              <w:rPr>
                <w:rFonts w:ascii="Calibri" w:hAnsi="Calibri" w:cs="Arial"/>
                <w:b/>
                <w:sz w:val="20"/>
                <w:szCs w:val="20"/>
              </w:rPr>
              <w:t>Ending date</w:t>
            </w:r>
          </w:p>
        </w:tc>
      </w:tr>
      <w:tr w:rsidR="001B2586" w:rsidRPr="004A49A8" w:rsidTr="001B2586">
        <w:trPr>
          <w:trHeight w:val="204"/>
        </w:trPr>
        <w:tc>
          <w:tcPr>
            <w:tcW w:w="851"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b/>
                <w:w w:val="105"/>
                <w:sz w:val="20"/>
                <w:szCs w:val="20"/>
                <w:lang w:val="ru-RU"/>
              </w:rPr>
            </w:pPr>
          </w:p>
        </w:tc>
        <w:tc>
          <w:tcPr>
            <w:tcW w:w="3827" w:type="dxa"/>
            <w:tcBorders>
              <w:left w:val="single" w:sz="8" w:space="0" w:color="000000"/>
              <w:right w:val="single" w:sz="8" w:space="0" w:color="000000"/>
            </w:tcBorders>
            <w:vAlign w:val="center"/>
          </w:tcPr>
          <w:p w:rsidR="001B2586" w:rsidRPr="004A49A8" w:rsidRDefault="001B2586" w:rsidP="001B2586">
            <w:pPr>
              <w:pStyle w:val="TableParagraph"/>
              <w:tabs>
                <w:tab w:val="left" w:pos="-4678"/>
              </w:tabs>
              <w:ind w:left="142"/>
              <w:rPr>
                <w:rFonts w:ascii="Calibri" w:hAnsi="Calibri" w:cs="Arial"/>
                <w:b/>
                <w:sz w:val="20"/>
                <w:szCs w:val="20"/>
              </w:rPr>
            </w:pPr>
            <w:proofErr w:type="spellStart"/>
            <w:r w:rsidRPr="004A49A8">
              <w:rPr>
                <w:rFonts w:ascii="Calibri" w:hAnsi="Calibri" w:cs="Arial"/>
                <w:b/>
                <w:color w:val="FF0000"/>
                <w:sz w:val="20"/>
                <w:szCs w:val="20"/>
              </w:rPr>
              <w:t>Mirabad</w:t>
            </w:r>
            <w:proofErr w:type="spellEnd"/>
            <w:r w:rsidRPr="004A49A8">
              <w:rPr>
                <w:rFonts w:ascii="Calibri" w:hAnsi="Calibri" w:cs="Arial"/>
                <w:b/>
                <w:color w:val="FF0000"/>
                <w:sz w:val="20"/>
                <w:szCs w:val="20"/>
              </w:rPr>
              <w:t xml:space="preserve"> Garage Rehabilitation</w:t>
            </w:r>
          </w:p>
        </w:tc>
        <w:tc>
          <w:tcPr>
            <w:tcW w:w="1823" w:type="dxa"/>
            <w:tcBorders>
              <w:left w:val="single" w:sz="8" w:space="0" w:color="000000"/>
            </w:tcBorders>
            <w:vAlign w:val="center"/>
          </w:tcPr>
          <w:p w:rsidR="001B2586" w:rsidRPr="004A49A8" w:rsidRDefault="001B2586" w:rsidP="001B2586">
            <w:pPr>
              <w:pStyle w:val="TableParagraph"/>
              <w:tabs>
                <w:tab w:val="left" w:pos="-4678"/>
              </w:tabs>
              <w:ind w:left="142" w:right="122"/>
              <w:jc w:val="center"/>
              <w:rPr>
                <w:rFonts w:ascii="Calibri" w:hAnsi="Calibri" w:cs="Arial"/>
                <w:b/>
                <w:sz w:val="20"/>
                <w:szCs w:val="20"/>
              </w:rPr>
            </w:pPr>
          </w:p>
        </w:tc>
        <w:tc>
          <w:tcPr>
            <w:tcW w:w="2004" w:type="dxa"/>
            <w:tcBorders>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b/>
                <w:sz w:val="20"/>
                <w:szCs w:val="20"/>
              </w:rPr>
            </w:pPr>
          </w:p>
        </w:tc>
      </w:tr>
      <w:tr w:rsidR="001B2586" w:rsidRPr="004A49A8" w:rsidTr="001B2586">
        <w:trPr>
          <w:trHeight w:val="278"/>
        </w:trPr>
        <w:tc>
          <w:tcPr>
            <w:tcW w:w="851" w:type="dxa"/>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w w:val="105"/>
                <w:sz w:val="20"/>
                <w:szCs w:val="20"/>
                <w:lang w:val="ru-RU"/>
              </w:rPr>
              <w:t>1.</w:t>
            </w:r>
          </w:p>
        </w:tc>
        <w:tc>
          <w:tcPr>
            <w:tcW w:w="3827" w:type="dxa"/>
            <w:tcBorders>
              <w:right w:val="single" w:sz="8" w:space="0" w:color="000000"/>
            </w:tcBorders>
            <w:vAlign w:val="center"/>
          </w:tcPr>
          <w:p w:rsidR="001B2586" w:rsidRPr="004A49A8" w:rsidRDefault="001B2586" w:rsidP="001B2586">
            <w:pPr>
              <w:pStyle w:val="TableParagraph"/>
              <w:tabs>
                <w:tab w:val="left" w:pos="-4678"/>
              </w:tabs>
              <w:ind w:left="142"/>
              <w:rPr>
                <w:rFonts w:ascii="Calibri" w:hAnsi="Calibri" w:cs="Arial"/>
                <w:sz w:val="20"/>
                <w:szCs w:val="20"/>
                <w:lang w:val="ru-RU"/>
              </w:rPr>
            </w:pPr>
            <w:r w:rsidRPr="004A49A8">
              <w:rPr>
                <w:rFonts w:ascii="Calibri" w:hAnsi="Calibri" w:cs="Arial"/>
                <w:w w:val="110"/>
                <w:sz w:val="20"/>
                <w:szCs w:val="20"/>
              </w:rPr>
              <w:t>Site preparation</w:t>
            </w:r>
          </w:p>
        </w:tc>
        <w:tc>
          <w:tcPr>
            <w:tcW w:w="1823"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16.12.2020</w:t>
            </w:r>
          </w:p>
        </w:tc>
        <w:tc>
          <w:tcPr>
            <w:tcW w:w="2004"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20.12.202</w:t>
            </w:r>
          </w:p>
        </w:tc>
      </w:tr>
      <w:tr w:rsidR="001B2586" w:rsidRPr="004A49A8" w:rsidTr="001B2586">
        <w:trPr>
          <w:trHeight w:val="273"/>
        </w:trPr>
        <w:tc>
          <w:tcPr>
            <w:tcW w:w="851" w:type="dxa"/>
            <w:vAlign w:val="center"/>
          </w:tcPr>
          <w:p w:rsidR="001B2586" w:rsidRPr="004A49A8" w:rsidRDefault="001B2586" w:rsidP="001B2586">
            <w:pPr>
              <w:pStyle w:val="TableParagraph"/>
              <w:tabs>
                <w:tab w:val="left" w:pos="-4678"/>
              </w:tabs>
              <w:ind w:left="156" w:right="142" w:firstLine="14"/>
              <w:jc w:val="center"/>
              <w:rPr>
                <w:rFonts w:ascii="Calibri" w:hAnsi="Calibri" w:cs="Arial"/>
                <w:w w:val="110"/>
                <w:sz w:val="20"/>
                <w:szCs w:val="20"/>
                <w:lang w:val="ru-RU"/>
              </w:rPr>
            </w:pPr>
            <w:r w:rsidRPr="004A49A8">
              <w:rPr>
                <w:rFonts w:ascii="Calibri" w:hAnsi="Calibri" w:cs="Arial"/>
                <w:sz w:val="20"/>
                <w:szCs w:val="20"/>
                <w:lang w:val="ru-RU"/>
              </w:rPr>
              <w:t>2.</w:t>
            </w:r>
          </w:p>
        </w:tc>
        <w:tc>
          <w:tcPr>
            <w:tcW w:w="3827" w:type="dxa"/>
            <w:vAlign w:val="center"/>
          </w:tcPr>
          <w:p w:rsidR="001B2586" w:rsidRPr="004A49A8" w:rsidRDefault="001B2586" w:rsidP="001B2586">
            <w:pPr>
              <w:pStyle w:val="TableParagraph"/>
              <w:tabs>
                <w:tab w:val="left" w:pos="-4678"/>
              </w:tabs>
              <w:ind w:left="142"/>
              <w:rPr>
                <w:rFonts w:ascii="Calibri" w:hAnsi="Calibri" w:cs="Arial"/>
                <w:w w:val="110"/>
                <w:sz w:val="20"/>
                <w:szCs w:val="20"/>
                <w:lang w:val="ru-RU"/>
              </w:rPr>
            </w:pPr>
            <w:r w:rsidRPr="004A49A8">
              <w:rPr>
                <w:rFonts w:ascii="Calibri" w:hAnsi="Calibri" w:cs="Arial"/>
                <w:snapToGrid w:val="0"/>
                <w:sz w:val="20"/>
                <w:szCs w:val="20"/>
                <w:lang w:eastAsia="ru-RU"/>
              </w:rPr>
              <w:t>General construction works</w:t>
            </w:r>
          </w:p>
        </w:tc>
        <w:tc>
          <w:tcPr>
            <w:tcW w:w="1823" w:type="dxa"/>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18.12.2020</w:t>
            </w:r>
          </w:p>
        </w:tc>
        <w:tc>
          <w:tcPr>
            <w:tcW w:w="2004" w:type="dxa"/>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20.04.2021</w:t>
            </w:r>
          </w:p>
        </w:tc>
      </w:tr>
      <w:tr w:rsidR="001B2586" w:rsidRPr="004A49A8" w:rsidTr="001B2586">
        <w:trPr>
          <w:trHeight w:val="273"/>
        </w:trPr>
        <w:tc>
          <w:tcPr>
            <w:tcW w:w="851" w:type="dxa"/>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3.</w:t>
            </w:r>
          </w:p>
        </w:tc>
        <w:tc>
          <w:tcPr>
            <w:tcW w:w="3827" w:type="dxa"/>
            <w:vAlign w:val="center"/>
          </w:tcPr>
          <w:p w:rsidR="001B2586" w:rsidRPr="004A49A8" w:rsidRDefault="001B2586" w:rsidP="00454A88">
            <w:pPr>
              <w:pStyle w:val="TableParagraph"/>
              <w:tabs>
                <w:tab w:val="left" w:pos="-4678"/>
              </w:tabs>
              <w:ind w:left="142"/>
              <w:rPr>
                <w:rFonts w:ascii="Calibri" w:hAnsi="Calibri" w:cs="Arial"/>
                <w:sz w:val="20"/>
                <w:szCs w:val="20"/>
              </w:rPr>
            </w:pPr>
            <w:r w:rsidRPr="004A49A8">
              <w:rPr>
                <w:rFonts w:ascii="Calibri" w:hAnsi="Calibri" w:cs="Arial"/>
                <w:snapToGrid w:val="0"/>
                <w:sz w:val="20"/>
                <w:szCs w:val="20"/>
                <w:lang w:eastAsia="ru-RU"/>
              </w:rPr>
              <w:t>Decoration works</w:t>
            </w:r>
          </w:p>
        </w:tc>
        <w:tc>
          <w:tcPr>
            <w:tcW w:w="1823" w:type="dxa"/>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10.03.2021</w:t>
            </w:r>
          </w:p>
        </w:tc>
        <w:tc>
          <w:tcPr>
            <w:tcW w:w="2004" w:type="dxa"/>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20.06.2021</w:t>
            </w:r>
          </w:p>
        </w:tc>
      </w:tr>
      <w:tr w:rsidR="001B2586" w:rsidRPr="004A49A8" w:rsidTr="001B2586">
        <w:trPr>
          <w:trHeight w:val="278"/>
        </w:trPr>
        <w:tc>
          <w:tcPr>
            <w:tcW w:w="851" w:type="dxa"/>
            <w:tcBorders>
              <w:right w:val="single" w:sz="8" w:space="0" w:color="000000"/>
            </w:tcBorders>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4.</w:t>
            </w:r>
          </w:p>
        </w:tc>
        <w:tc>
          <w:tcPr>
            <w:tcW w:w="3827" w:type="dxa"/>
            <w:tcBorders>
              <w:left w:val="single" w:sz="8" w:space="0" w:color="000000"/>
            </w:tcBorders>
            <w:vAlign w:val="center"/>
          </w:tcPr>
          <w:p w:rsidR="001B2586" w:rsidRPr="004A49A8" w:rsidRDefault="001B2586" w:rsidP="001B2586">
            <w:pPr>
              <w:pStyle w:val="TableParagraph"/>
              <w:tabs>
                <w:tab w:val="left" w:pos="-4678"/>
              </w:tabs>
              <w:ind w:left="142"/>
              <w:rPr>
                <w:rFonts w:ascii="Calibri" w:hAnsi="Calibri" w:cs="Arial"/>
                <w:sz w:val="20"/>
                <w:szCs w:val="20"/>
                <w:lang w:val="ru-RU"/>
              </w:rPr>
            </w:pPr>
            <w:r w:rsidRPr="004A49A8">
              <w:rPr>
                <w:rFonts w:ascii="Calibri" w:hAnsi="Calibri" w:cs="Arial"/>
                <w:snapToGrid w:val="0"/>
                <w:sz w:val="20"/>
                <w:szCs w:val="20"/>
                <w:lang w:eastAsia="ru-RU"/>
              </w:rPr>
              <w:t>Electrical installation works</w:t>
            </w:r>
          </w:p>
        </w:tc>
        <w:tc>
          <w:tcPr>
            <w:tcW w:w="1823" w:type="dxa"/>
            <w:tcBorders>
              <w:righ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01.04.2021</w:t>
            </w:r>
          </w:p>
        </w:tc>
        <w:tc>
          <w:tcPr>
            <w:tcW w:w="2004"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01.06.2021</w:t>
            </w:r>
          </w:p>
        </w:tc>
      </w:tr>
      <w:tr w:rsidR="001B2586" w:rsidRPr="004A49A8" w:rsidTr="001B2586">
        <w:trPr>
          <w:trHeight w:val="278"/>
        </w:trPr>
        <w:tc>
          <w:tcPr>
            <w:tcW w:w="851" w:type="dxa"/>
            <w:tcBorders>
              <w:right w:val="single" w:sz="8" w:space="0" w:color="000000"/>
            </w:tcBorders>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5.</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lang w:val="ru-RU"/>
              </w:rPr>
            </w:pPr>
            <w:r w:rsidRPr="004A49A8">
              <w:rPr>
                <w:rFonts w:ascii="Calibri" w:hAnsi="Calibri" w:cs="Arial"/>
                <w:snapToGrid w:val="0"/>
                <w:sz w:val="20"/>
                <w:szCs w:val="20"/>
                <w:lang w:eastAsia="ru-RU"/>
              </w:rPr>
              <w:t>Sanitary engineering works</w:t>
            </w:r>
          </w:p>
        </w:tc>
        <w:tc>
          <w:tcPr>
            <w:tcW w:w="1823" w:type="dxa"/>
            <w:tcBorders>
              <w:righ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 xml:space="preserve">10.04.2021 </w:t>
            </w:r>
          </w:p>
        </w:tc>
        <w:tc>
          <w:tcPr>
            <w:tcW w:w="2004"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10.05.2021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6.</w:t>
            </w:r>
          </w:p>
        </w:tc>
        <w:tc>
          <w:tcPr>
            <w:tcW w:w="3827" w:type="dxa"/>
            <w:tcBorders>
              <w:left w:val="single" w:sz="8" w:space="0" w:color="000000"/>
            </w:tcBorders>
            <w:vAlign w:val="center"/>
          </w:tcPr>
          <w:p w:rsidR="001B2586" w:rsidRPr="004A49A8" w:rsidRDefault="001B2586" w:rsidP="001B2586">
            <w:pPr>
              <w:pStyle w:val="TableParagraph"/>
              <w:tabs>
                <w:tab w:val="left" w:pos="-4678"/>
              </w:tabs>
              <w:ind w:left="142"/>
              <w:rPr>
                <w:rFonts w:ascii="Calibri" w:hAnsi="Calibri" w:cs="Arial"/>
                <w:sz w:val="20"/>
                <w:szCs w:val="20"/>
                <w:lang w:val="ru-RU"/>
              </w:rPr>
            </w:pPr>
            <w:r w:rsidRPr="004A49A8">
              <w:rPr>
                <w:rFonts w:ascii="Calibri" w:hAnsi="Calibri" w:cs="Arial"/>
                <w:snapToGrid w:val="0"/>
                <w:sz w:val="20"/>
                <w:szCs w:val="20"/>
                <w:lang w:eastAsia="ru-RU"/>
              </w:rPr>
              <w:t>Special works and others</w:t>
            </w:r>
          </w:p>
        </w:tc>
        <w:tc>
          <w:tcPr>
            <w:tcW w:w="1823" w:type="dxa"/>
            <w:tcBorders>
              <w:righ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01.04.2021</w:t>
            </w:r>
          </w:p>
        </w:tc>
        <w:tc>
          <w:tcPr>
            <w:tcW w:w="2004"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01.06.2021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7.</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rPr>
            </w:pPr>
            <w:r w:rsidRPr="004A49A8">
              <w:rPr>
                <w:rFonts w:ascii="Calibri" w:hAnsi="Calibri" w:cs="Arial"/>
                <w:snapToGrid w:val="0"/>
                <w:sz w:val="20"/>
                <w:szCs w:val="20"/>
                <w:lang w:eastAsia="ru-RU"/>
              </w:rPr>
              <w:t>Site improvement works</w:t>
            </w:r>
          </w:p>
        </w:tc>
        <w:tc>
          <w:tcPr>
            <w:tcW w:w="1823" w:type="dxa"/>
            <w:tcBorders>
              <w:righ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21.06.2021</w:t>
            </w:r>
          </w:p>
        </w:tc>
        <w:tc>
          <w:tcPr>
            <w:tcW w:w="2004"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30.07.2021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1B2586">
            <w:pPr>
              <w:pStyle w:val="TableParagraph"/>
              <w:tabs>
                <w:tab w:val="left" w:pos="-4678"/>
              </w:tabs>
              <w:ind w:left="156" w:right="142" w:firstLine="14"/>
              <w:jc w:val="center"/>
              <w:rPr>
                <w:rFonts w:ascii="Calibri" w:hAnsi="Calibri" w:cs="Arial"/>
                <w:sz w:val="20"/>
                <w:szCs w:val="20"/>
                <w:lang w:val="ru-RU"/>
              </w:rPr>
            </w:pP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napToGrid w:val="0"/>
                <w:sz w:val="20"/>
                <w:szCs w:val="20"/>
                <w:lang w:eastAsia="ru-RU"/>
              </w:rPr>
            </w:pPr>
          </w:p>
        </w:tc>
        <w:tc>
          <w:tcPr>
            <w:tcW w:w="1823" w:type="dxa"/>
            <w:tcBorders>
              <w:righ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sz w:val="20"/>
                <w:szCs w:val="20"/>
                <w:lang w:val="ru-RU"/>
              </w:rPr>
            </w:pPr>
          </w:p>
        </w:tc>
        <w:tc>
          <w:tcPr>
            <w:tcW w:w="2004"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sz w:val="20"/>
                <w:szCs w:val="20"/>
                <w:lang w:val="ru-RU"/>
              </w:rPr>
            </w:pPr>
          </w:p>
        </w:tc>
      </w:tr>
      <w:tr w:rsidR="001B2586" w:rsidRPr="004A49A8" w:rsidTr="00454A88">
        <w:trPr>
          <w:trHeight w:val="204"/>
        </w:trPr>
        <w:tc>
          <w:tcPr>
            <w:tcW w:w="851" w:type="dxa"/>
            <w:tcBorders>
              <w:left w:val="single" w:sz="8" w:space="0" w:color="000000"/>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b/>
                <w:w w:val="105"/>
                <w:sz w:val="20"/>
                <w:szCs w:val="20"/>
                <w:lang w:val="ru-RU"/>
              </w:rPr>
            </w:pPr>
          </w:p>
        </w:tc>
        <w:tc>
          <w:tcPr>
            <w:tcW w:w="3827" w:type="dxa"/>
            <w:tcBorders>
              <w:left w:val="single" w:sz="8" w:space="0" w:color="000000"/>
              <w:right w:val="single" w:sz="8" w:space="0" w:color="000000"/>
            </w:tcBorders>
            <w:vAlign w:val="center"/>
          </w:tcPr>
          <w:p w:rsidR="001B2586" w:rsidRPr="004A49A8" w:rsidRDefault="001B2586" w:rsidP="001B2586">
            <w:pPr>
              <w:pStyle w:val="TableParagraph"/>
              <w:tabs>
                <w:tab w:val="left" w:pos="-4678"/>
              </w:tabs>
              <w:ind w:left="142"/>
              <w:rPr>
                <w:rFonts w:ascii="Calibri" w:hAnsi="Calibri" w:cs="Arial"/>
                <w:b/>
                <w:sz w:val="20"/>
                <w:szCs w:val="20"/>
              </w:rPr>
            </w:pPr>
            <w:proofErr w:type="spellStart"/>
            <w:r w:rsidRPr="004A49A8">
              <w:rPr>
                <w:rFonts w:ascii="Calibri" w:hAnsi="Calibri" w:cs="Arial"/>
                <w:b/>
                <w:color w:val="FF0000"/>
                <w:sz w:val="20"/>
                <w:szCs w:val="20"/>
              </w:rPr>
              <w:t>Bektemir</w:t>
            </w:r>
            <w:proofErr w:type="spellEnd"/>
            <w:r w:rsidRPr="004A49A8">
              <w:rPr>
                <w:rFonts w:ascii="Calibri" w:hAnsi="Calibri" w:cs="Arial"/>
                <w:b/>
                <w:color w:val="FF0000"/>
                <w:sz w:val="20"/>
                <w:szCs w:val="20"/>
              </w:rPr>
              <w:t xml:space="preserve"> Garage Rehabilitation</w:t>
            </w:r>
          </w:p>
        </w:tc>
        <w:tc>
          <w:tcPr>
            <w:tcW w:w="1823" w:type="dxa"/>
            <w:tcBorders>
              <w:left w:val="single" w:sz="8" w:space="0" w:color="000000"/>
            </w:tcBorders>
            <w:vAlign w:val="center"/>
          </w:tcPr>
          <w:p w:rsidR="001B2586" w:rsidRPr="004A49A8" w:rsidRDefault="001B2586" w:rsidP="00454A88">
            <w:pPr>
              <w:pStyle w:val="TableParagraph"/>
              <w:tabs>
                <w:tab w:val="left" w:pos="-4678"/>
              </w:tabs>
              <w:ind w:left="142" w:right="122"/>
              <w:jc w:val="center"/>
              <w:rPr>
                <w:rFonts w:ascii="Calibri" w:hAnsi="Calibri" w:cs="Arial"/>
                <w:b/>
                <w:sz w:val="20"/>
                <w:szCs w:val="20"/>
              </w:rPr>
            </w:pPr>
          </w:p>
        </w:tc>
        <w:tc>
          <w:tcPr>
            <w:tcW w:w="2004" w:type="dxa"/>
            <w:tcBorders>
              <w:right w:val="single" w:sz="8" w:space="0" w:color="000000"/>
            </w:tcBorders>
            <w:vAlign w:val="center"/>
          </w:tcPr>
          <w:p w:rsidR="001B2586" w:rsidRPr="004A49A8" w:rsidRDefault="001B2586" w:rsidP="00454A88">
            <w:pPr>
              <w:pStyle w:val="TableParagraph"/>
              <w:tabs>
                <w:tab w:val="left" w:pos="-4678"/>
              </w:tabs>
              <w:ind w:left="162"/>
              <w:jc w:val="center"/>
              <w:rPr>
                <w:rFonts w:ascii="Calibri" w:hAnsi="Calibri" w:cs="Arial"/>
                <w:b/>
                <w:sz w:val="20"/>
                <w:szCs w:val="20"/>
              </w:rPr>
            </w:pP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w w:val="105"/>
                <w:sz w:val="20"/>
                <w:szCs w:val="20"/>
                <w:lang w:val="ru-RU"/>
              </w:rPr>
              <w:t>1.</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lang w:val="ru-RU"/>
              </w:rPr>
            </w:pPr>
            <w:r w:rsidRPr="004A49A8">
              <w:rPr>
                <w:rFonts w:ascii="Calibri" w:hAnsi="Calibri" w:cs="Arial"/>
                <w:w w:val="110"/>
                <w:sz w:val="20"/>
                <w:szCs w:val="20"/>
              </w:rPr>
              <w:t>Site preparation</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16.12.2020</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20.12.2020</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w w:val="110"/>
                <w:sz w:val="20"/>
                <w:szCs w:val="20"/>
                <w:lang w:val="ru-RU"/>
              </w:rPr>
            </w:pPr>
            <w:r w:rsidRPr="004A49A8">
              <w:rPr>
                <w:rFonts w:ascii="Calibri" w:hAnsi="Calibri" w:cs="Arial"/>
                <w:sz w:val="20"/>
                <w:szCs w:val="20"/>
                <w:lang w:val="ru-RU"/>
              </w:rPr>
              <w:t>2.</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w w:val="110"/>
                <w:sz w:val="20"/>
                <w:szCs w:val="20"/>
                <w:lang w:val="ru-RU"/>
              </w:rPr>
            </w:pPr>
            <w:r w:rsidRPr="004A49A8">
              <w:rPr>
                <w:rFonts w:ascii="Calibri" w:hAnsi="Calibri" w:cs="Arial"/>
                <w:snapToGrid w:val="0"/>
                <w:sz w:val="20"/>
                <w:szCs w:val="20"/>
                <w:lang w:eastAsia="ru-RU"/>
              </w:rPr>
              <w:t>General construction works</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18.12.2020</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20.04.2021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3.</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rPr>
            </w:pPr>
            <w:r w:rsidRPr="004A49A8">
              <w:rPr>
                <w:rFonts w:ascii="Calibri" w:hAnsi="Calibri" w:cs="Arial"/>
                <w:snapToGrid w:val="0"/>
                <w:sz w:val="20"/>
                <w:szCs w:val="20"/>
                <w:lang w:eastAsia="ru-RU"/>
              </w:rPr>
              <w:t>Decoration works</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10.03.2021</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20.06.2021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4.</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lang w:val="ru-RU"/>
              </w:rPr>
            </w:pPr>
            <w:r w:rsidRPr="004A49A8">
              <w:rPr>
                <w:rFonts w:ascii="Calibri" w:hAnsi="Calibri" w:cs="Arial"/>
                <w:snapToGrid w:val="0"/>
                <w:sz w:val="20"/>
                <w:szCs w:val="20"/>
                <w:lang w:eastAsia="ru-RU"/>
              </w:rPr>
              <w:t>Electrical installation works</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10.04.2021</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01.06.2021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5.</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lang w:val="ru-RU"/>
              </w:rPr>
            </w:pPr>
            <w:r w:rsidRPr="004A49A8">
              <w:rPr>
                <w:rFonts w:ascii="Calibri" w:hAnsi="Calibri" w:cs="Arial"/>
                <w:snapToGrid w:val="0"/>
                <w:sz w:val="20"/>
                <w:szCs w:val="20"/>
                <w:lang w:eastAsia="ru-RU"/>
              </w:rPr>
              <w:t>Sanitary engineering works</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10.04.2021</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10.05.2021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6.</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lang w:val="ru-RU"/>
              </w:rPr>
            </w:pPr>
            <w:r w:rsidRPr="004A49A8">
              <w:rPr>
                <w:rFonts w:ascii="Calibri" w:hAnsi="Calibri" w:cs="Arial"/>
                <w:snapToGrid w:val="0"/>
                <w:sz w:val="20"/>
                <w:szCs w:val="20"/>
                <w:lang w:eastAsia="ru-RU"/>
              </w:rPr>
              <w:t>Special works and others</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10.04.2021</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01.06.2021</w:t>
            </w:r>
          </w:p>
        </w:tc>
      </w:tr>
      <w:tr w:rsidR="001B2586" w:rsidRPr="004A49A8" w:rsidTr="001B2586">
        <w:trPr>
          <w:trHeight w:val="273"/>
        </w:trPr>
        <w:tc>
          <w:tcPr>
            <w:tcW w:w="851" w:type="dxa"/>
            <w:tcBorders>
              <w:right w:val="single" w:sz="8" w:space="0" w:color="000000"/>
            </w:tcBorders>
            <w:vAlign w:val="center"/>
          </w:tcPr>
          <w:p w:rsidR="001B2586" w:rsidRPr="004A49A8" w:rsidRDefault="001B2586" w:rsidP="00454A88">
            <w:pPr>
              <w:pStyle w:val="TableParagraph"/>
              <w:tabs>
                <w:tab w:val="left" w:pos="-4678"/>
              </w:tabs>
              <w:ind w:left="156" w:right="142" w:firstLine="14"/>
              <w:jc w:val="center"/>
              <w:rPr>
                <w:rFonts w:ascii="Calibri" w:hAnsi="Calibri" w:cs="Arial"/>
                <w:sz w:val="20"/>
                <w:szCs w:val="20"/>
                <w:lang w:val="ru-RU"/>
              </w:rPr>
            </w:pPr>
            <w:r w:rsidRPr="004A49A8">
              <w:rPr>
                <w:rFonts w:ascii="Calibri" w:hAnsi="Calibri" w:cs="Arial"/>
                <w:sz w:val="20"/>
                <w:szCs w:val="20"/>
                <w:lang w:val="ru-RU"/>
              </w:rPr>
              <w:t>7.</w:t>
            </w:r>
          </w:p>
        </w:tc>
        <w:tc>
          <w:tcPr>
            <w:tcW w:w="3827" w:type="dxa"/>
            <w:tcBorders>
              <w:left w:val="single" w:sz="8" w:space="0" w:color="000000"/>
            </w:tcBorders>
            <w:vAlign w:val="center"/>
          </w:tcPr>
          <w:p w:rsidR="001B2586" w:rsidRPr="004A49A8" w:rsidRDefault="001B2586" w:rsidP="00454A88">
            <w:pPr>
              <w:pStyle w:val="TableParagraph"/>
              <w:tabs>
                <w:tab w:val="left" w:pos="-4678"/>
              </w:tabs>
              <w:ind w:left="142"/>
              <w:rPr>
                <w:rFonts w:ascii="Calibri" w:hAnsi="Calibri" w:cs="Arial"/>
                <w:sz w:val="20"/>
                <w:szCs w:val="20"/>
              </w:rPr>
            </w:pPr>
            <w:r w:rsidRPr="004A49A8">
              <w:rPr>
                <w:rFonts w:ascii="Calibri" w:hAnsi="Calibri" w:cs="Arial"/>
                <w:snapToGrid w:val="0"/>
                <w:sz w:val="20"/>
                <w:szCs w:val="20"/>
                <w:lang w:eastAsia="ru-RU"/>
              </w:rPr>
              <w:t>Site improvement works</w:t>
            </w:r>
          </w:p>
        </w:tc>
        <w:tc>
          <w:tcPr>
            <w:tcW w:w="1823" w:type="dxa"/>
            <w:tcBorders>
              <w:right w:val="single" w:sz="8" w:space="0" w:color="000000"/>
            </w:tcBorders>
            <w:vAlign w:val="center"/>
          </w:tcPr>
          <w:p w:rsidR="001B2586" w:rsidRPr="004A49A8" w:rsidRDefault="009F09AE" w:rsidP="00454A88">
            <w:pPr>
              <w:pStyle w:val="TableParagraph"/>
              <w:tabs>
                <w:tab w:val="left" w:pos="-4678"/>
              </w:tabs>
              <w:ind w:left="142" w:right="122"/>
              <w:jc w:val="center"/>
              <w:rPr>
                <w:rFonts w:ascii="Calibri" w:hAnsi="Calibri" w:cs="Arial"/>
                <w:sz w:val="20"/>
                <w:szCs w:val="20"/>
              </w:rPr>
            </w:pPr>
            <w:r w:rsidRPr="004A49A8">
              <w:rPr>
                <w:rFonts w:ascii="Calibri" w:hAnsi="Calibri" w:cs="Arial"/>
                <w:sz w:val="20"/>
                <w:szCs w:val="20"/>
                <w:lang w:val="ru-RU"/>
              </w:rPr>
              <w:t>21.06.2021</w:t>
            </w:r>
          </w:p>
        </w:tc>
        <w:tc>
          <w:tcPr>
            <w:tcW w:w="2004" w:type="dxa"/>
            <w:tcBorders>
              <w:left w:val="single" w:sz="8" w:space="0" w:color="000000"/>
              <w:right w:val="single" w:sz="8" w:space="0" w:color="000000"/>
            </w:tcBorders>
            <w:vAlign w:val="center"/>
          </w:tcPr>
          <w:p w:rsidR="001B2586" w:rsidRPr="004A49A8" w:rsidRDefault="009F09AE" w:rsidP="00454A88">
            <w:pPr>
              <w:pStyle w:val="TableParagraph"/>
              <w:tabs>
                <w:tab w:val="left" w:pos="-4678"/>
              </w:tabs>
              <w:ind w:left="162"/>
              <w:jc w:val="center"/>
              <w:rPr>
                <w:rFonts w:ascii="Calibri" w:hAnsi="Calibri" w:cs="Arial"/>
                <w:sz w:val="20"/>
                <w:szCs w:val="20"/>
              </w:rPr>
            </w:pPr>
            <w:r w:rsidRPr="004A49A8">
              <w:rPr>
                <w:rFonts w:ascii="Calibri" w:hAnsi="Calibri" w:cs="Arial"/>
                <w:sz w:val="20"/>
                <w:szCs w:val="20"/>
                <w:lang w:val="ru-RU"/>
              </w:rPr>
              <w:t>30.07.2021</w:t>
            </w:r>
          </w:p>
        </w:tc>
      </w:tr>
    </w:tbl>
    <w:p w:rsidR="00C423D6" w:rsidRPr="001B2586" w:rsidRDefault="00C423D6">
      <w:pPr>
        <w:spacing w:line="240" w:lineRule="auto"/>
        <w:rPr>
          <w:rFonts w:cs="Calibri"/>
        </w:rPr>
      </w:pPr>
    </w:p>
    <w:p w:rsidR="004E30FF" w:rsidRDefault="00FA2C19">
      <w:pPr>
        <w:spacing w:line="240" w:lineRule="auto"/>
        <w:rPr>
          <w:rFonts w:cs="Calibri"/>
        </w:rPr>
      </w:pPr>
      <w:r>
        <w:rPr>
          <w:rFonts w:cs="Calibri"/>
        </w:rPr>
        <w:t xml:space="preserve">More details </w:t>
      </w:r>
      <w:r w:rsidR="00121730">
        <w:rPr>
          <w:rFonts w:cs="Calibri"/>
        </w:rPr>
        <w:t>on</w:t>
      </w:r>
      <w:r w:rsidR="00DF4A70">
        <w:rPr>
          <w:rFonts w:cs="Calibri"/>
        </w:rPr>
        <w:t xml:space="preserve"> further progress </w:t>
      </w:r>
      <w:r w:rsidR="00121730">
        <w:rPr>
          <w:rFonts w:cs="Calibri"/>
        </w:rPr>
        <w:t>will be provided in the next progress report of the Consultant.</w:t>
      </w:r>
    </w:p>
    <w:p w:rsidR="00C93276" w:rsidRDefault="00C93276">
      <w:pPr>
        <w:spacing w:line="240" w:lineRule="auto"/>
        <w:rPr>
          <w:rFonts w:cs="Calibri"/>
        </w:rPr>
      </w:pPr>
    </w:p>
    <w:p w:rsidR="00C93276" w:rsidRDefault="00C93276">
      <w:pPr>
        <w:spacing w:line="240" w:lineRule="auto"/>
      </w:pPr>
    </w:p>
    <w:p w:rsidR="004E30FF" w:rsidRDefault="004E30FF">
      <w:pPr>
        <w:pStyle w:val="2"/>
        <w:numPr>
          <w:ilvl w:val="1"/>
          <w:numId w:val="5"/>
        </w:numPr>
        <w:spacing w:before="0"/>
      </w:pPr>
      <w:bookmarkStart w:id="15" w:name="_Toc64301503"/>
      <w:bookmarkStart w:id="16" w:name="_Hlk517274832"/>
      <w:r>
        <w:t>Contracts Administration (TOR Task D)</w:t>
      </w:r>
      <w:bookmarkEnd w:id="15"/>
    </w:p>
    <w:p w:rsidR="004E30FF" w:rsidRDefault="004E30FF">
      <w:pPr>
        <w:spacing w:line="240" w:lineRule="auto"/>
      </w:pPr>
    </w:p>
    <w:p w:rsidR="008A00A7" w:rsidRDefault="008A00A7">
      <w:pPr>
        <w:spacing w:line="240" w:lineRule="auto"/>
      </w:pPr>
      <w:r>
        <w:t>Under this task t</w:t>
      </w:r>
      <w:r w:rsidRPr="008A00A7">
        <w:t xml:space="preserve">he Consultant </w:t>
      </w:r>
      <w:r>
        <w:t xml:space="preserve">shall </w:t>
      </w:r>
      <w:r w:rsidRPr="008A00A7">
        <w:t xml:space="preserve">assist the PIU in the administration of the Goods, Works </w:t>
      </w:r>
      <w:r>
        <w:t xml:space="preserve">and Services </w:t>
      </w:r>
      <w:r w:rsidRPr="008A00A7">
        <w:t>contracts</w:t>
      </w:r>
      <w:r>
        <w:t>. During the annual reporting period t</w:t>
      </w:r>
      <w:r w:rsidR="004E30FF">
        <w:t xml:space="preserve">he Consultant assisted PIU and </w:t>
      </w:r>
      <w:r>
        <w:t xml:space="preserve">Maxsustrans </w:t>
      </w:r>
      <w:r w:rsidR="004E30FF">
        <w:t>with</w:t>
      </w:r>
      <w:r>
        <w:t>:</w:t>
      </w:r>
    </w:p>
    <w:p w:rsidR="009A0BB8" w:rsidRDefault="004E30FF" w:rsidP="00A07159">
      <w:pPr>
        <w:pStyle w:val="af9"/>
        <w:numPr>
          <w:ilvl w:val="0"/>
          <w:numId w:val="25"/>
        </w:numPr>
        <w:spacing w:line="240" w:lineRule="auto"/>
        <w:ind w:left="709" w:hanging="425"/>
      </w:pPr>
      <w:r>
        <w:t>disbursements under the ongoing contracts</w:t>
      </w:r>
      <w:r w:rsidR="008A00A7">
        <w:t xml:space="preserve">; </w:t>
      </w:r>
    </w:p>
    <w:p w:rsidR="009A0BB8" w:rsidRDefault="008A00A7" w:rsidP="00A07159">
      <w:pPr>
        <w:pStyle w:val="af9"/>
        <w:numPr>
          <w:ilvl w:val="0"/>
          <w:numId w:val="25"/>
        </w:numPr>
        <w:spacing w:line="240" w:lineRule="auto"/>
        <w:ind w:left="709" w:hanging="425"/>
      </w:pPr>
      <w:r>
        <w:t xml:space="preserve">contract amendments and their review and registration by local authority; </w:t>
      </w:r>
    </w:p>
    <w:p w:rsidR="009A0BB8" w:rsidRDefault="008A00A7" w:rsidP="00A07159">
      <w:pPr>
        <w:pStyle w:val="af9"/>
        <w:numPr>
          <w:ilvl w:val="0"/>
          <w:numId w:val="25"/>
        </w:numPr>
        <w:spacing w:line="240" w:lineRule="auto"/>
        <w:ind w:left="709" w:hanging="425"/>
      </w:pPr>
      <w:r>
        <w:t>monitoring of validity of the bank guaranties for advance payment and performance bond issued to Maxsustrans;</w:t>
      </w:r>
    </w:p>
    <w:p w:rsidR="009A0BB8" w:rsidRDefault="008A00A7" w:rsidP="00A07159">
      <w:pPr>
        <w:pStyle w:val="af9"/>
        <w:numPr>
          <w:ilvl w:val="0"/>
          <w:numId w:val="25"/>
        </w:numPr>
        <w:spacing w:line="240" w:lineRule="auto"/>
        <w:ind w:left="709" w:hanging="425"/>
      </w:pPr>
      <w:r>
        <w:t xml:space="preserve">monitoring of validity of insurance policy provided by consultants, suppliers and contractors; and </w:t>
      </w:r>
    </w:p>
    <w:p w:rsidR="008A00A7" w:rsidRDefault="008A00A7" w:rsidP="00A07159">
      <w:pPr>
        <w:pStyle w:val="af9"/>
        <w:numPr>
          <w:ilvl w:val="0"/>
          <w:numId w:val="25"/>
        </w:numPr>
        <w:spacing w:line="240" w:lineRule="auto"/>
        <w:ind w:left="709" w:hanging="425"/>
      </w:pPr>
      <w:r>
        <w:t>other administrative support to PIU and Maxsustrans related to on-going contracts</w:t>
      </w:r>
      <w:r w:rsidR="00037162">
        <w:t xml:space="preserve"> like minutes of meeting, arrangement of negotiations and communication with the national and international companies participating in implementation of the Project</w:t>
      </w:r>
      <w:r>
        <w:t>.</w:t>
      </w:r>
    </w:p>
    <w:p w:rsidR="008A00A7" w:rsidRDefault="008A00A7">
      <w:pPr>
        <w:spacing w:line="240" w:lineRule="auto"/>
      </w:pPr>
      <w:r>
        <w:t xml:space="preserve"> </w:t>
      </w:r>
    </w:p>
    <w:p w:rsidR="00A07159" w:rsidRDefault="00FD4446">
      <w:pPr>
        <w:spacing w:line="240" w:lineRule="auto"/>
      </w:pPr>
      <w:r>
        <w:t xml:space="preserve">The following table includes the disbursements made </w:t>
      </w:r>
      <w:r w:rsidR="00183BF8">
        <w:t xml:space="preserve">within </w:t>
      </w:r>
      <w:r>
        <w:t xml:space="preserve">2020 </w:t>
      </w:r>
      <w:r w:rsidRPr="00FD46D5">
        <w:rPr>
          <w:u w:val="single"/>
        </w:rPr>
        <w:t xml:space="preserve">under </w:t>
      </w:r>
      <w:r w:rsidR="001822C5" w:rsidRPr="00FD46D5">
        <w:rPr>
          <w:u w:val="single"/>
        </w:rPr>
        <w:t>the on-going contra</w:t>
      </w:r>
      <w:r w:rsidR="00A6032B" w:rsidRPr="00FD46D5">
        <w:rPr>
          <w:u w:val="single"/>
        </w:rPr>
        <w:t>cts</w:t>
      </w:r>
      <w:r w:rsidR="00A6032B">
        <w:t xml:space="preserve"> and balance of contract amounts as per 31 December 2020</w:t>
      </w:r>
      <w:r w:rsidR="00F519A8">
        <w:t xml:space="preserve"> (data provided by PIU accountant)</w:t>
      </w:r>
      <w:r>
        <w:t>:</w:t>
      </w:r>
    </w:p>
    <w:p w:rsidR="00FD4446" w:rsidRDefault="00FD4446">
      <w:pPr>
        <w:spacing w:line="240" w:lineRule="auto"/>
      </w:pPr>
    </w:p>
    <w:p w:rsidR="00FD4446" w:rsidRDefault="00A6032B">
      <w:pPr>
        <w:spacing w:line="240" w:lineRule="auto"/>
      </w:pPr>
      <w:r w:rsidRPr="00A6032B">
        <w:rPr>
          <w:noProof/>
          <w:lang w:val="ru-RU" w:eastAsia="ru-RU"/>
        </w:rPr>
        <w:lastRenderedPageBreak/>
        <w:drawing>
          <wp:inline distT="0" distB="0" distL="0" distR="0">
            <wp:extent cx="6030595" cy="441170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4411705"/>
                    </a:xfrm>
                    <a:prstGeom prst="rect">
                      <a:avLst/>
                    </a:prstGeom>
                    <a:noFill/>
                    <a:ln>
                      <a:noFill/>
                    </a:ln>
                  </pic:spPr>
                </pic:pic>
              </a:graphicData>
            </a:graphic>
          </wp:inline>
        </w:drawing>
      </w:r>
    </w:p>
    <w:p w:rsidR="008A00A7" w:rsidRDefault="008A00A7">
      <w:pPr>
        <w:spacing w:line="240" w:lineRule="auto"/>
      </w:pPr>
    </w:p>
    <w:p w:rsidR="008A00A7" w:rsidRDefault="00FD46D5">
      <w:pPr>
        <w:spacing w:line="240" w:lineRule="auto"/>
      </w:pPr>
      <w:r>
        <w:t>PIU Consultant</w:t>
      </w:r>
      <w:r w:rsidR="00B30D60">
        <w:t>’s</w:t>
      </w:r>
      <w:r>
        <w:t xml:space="preserve"> team consisting of Deputy Team Leader and Financial Management Specialist assisted PIU with preparation of withdrawal applications for direct payments, liquidation of funds </w:t>
      </w:r>
      <w:r w:rsidR="00B30D60">
        <w:t>on</w:t>
      </w:r>
      <w:r w:rsidR="00C14561">
        <w:t xml:space="preserve"> advance </w:t>
      </w:r>
      <w:r>
        <w:t xml:space="preserve"> account of the Project, review of invoices and supporting documents related to payments; </w:t>
      </w:r>
      <w:r w:rsidR="00667162">
        <w:t xml:space="preserve">verification of the provided documents for reimbursement and other support as and when needed for financial matters. </w:t>
      </w:r>
    </w:p>
    <w:p w:rsidR="004E30FF" w:rsidRDefault="004E30FF">
      <w:pPr>
        <w:spacing w:line="240" w:lineRule="auto"/>
      </w:pPr>
    </w:p>
    <w:p w:rsidR="000B3738" w:rsidRDefault="000B3738">
      <w:pPr>
        <w:spacing w:line="240" w:lineRule="auto"/>
      </w:pPr>
      <w:r>
        <w:t>As mentioned in Executive summary</w:t>
      </w:r>
      <w:r w:rsidR="00D146E2">
        <w:t xml:space="preserve"> of this report</w:t>
      </w:r>
      <w:r>
        <w:t xml:space="preserve">, the PIU Consultant’s Leading company - </w:t>
      </w:r>
      <w:r w:rsidRPr="000B3738">
        <w:t xml:space="preserve">H.P. GAUFF INGENIEURE GMBH &amp; CO. KG-JBG </w:t>
      </w:r>
      <w:r>
        <w:t xml:space="preserve">(Germany) has informed the Client </w:t>
      </w:r>
      <w:r w:rsidR="00D146E2">
        <w:t xml:space="preserve">in September 2020 </w:t>
      </w:r>
      <w:r>
        <w:t xml:space="preserve">about non-entry in the Contract C1 due to insolvency situation of the company. Upon such information, </w:t>
      </w:r>
      <w:r w:rsidR="00D146E2">
        <w:t>in October 2020</w:t>
      </w:r>
      <w:r>
        <w:t xml:space="preserve">the Client has requested the </w:t>
      </w:r>
      <w:r w:rsidR="00D146E2">
        <w:t>financi</w:t>
      </w:r>
      <w:r>
        <w:t>al institution Euler Hermes Deutschland</w:t>
      </w:r>
      <w:r w:rsidR="00D146E2">
        <w:t xml:space="preserve"> (Germany)</w:t>
      </w:r>
      <w:r>
        <w:t xml:space="preserve">, which issued the advance payment guarantee under the contract of PIU Consultants, to transfer the remaining amount of advance payment of </w:t>
      </w:r>
      <w:r w:rsidRPr="000B3738">
        <w:rPr>
          <w:b/>
        </w:rPr>
        <w:t xml:space="preserve">$111,368.84 </w:t>
      </w:r>
      <w:r>
        <w:t xml:space="preserve">to bank account of Maxsustrans. This amount has been transferred in December 2020 </w:t>
      </w:r>
      <w:r w:rsidR="00D146E2">
        <w:t xml:space="preserve">on the Client’s account at </w:t>
      </w:r>
      <w:proofErr w:type="spellStart"/>
      <w:r w:rsidR="00D146E2">
        <w:t>Ipotekabank</w:t>
      </w:r>
      <w:proofErr w:type="spellEnd"/>
      <w:r w:rsidR="00D146E2">
        <w:t xml:space="preserve"> </w:t>
      </w:r>
      <w:r>
        <w:t>and will be used for fu</w:t>
      </w:r>
      <w:r w:rsidR="00C275D0">
        <w:t xml:space="preserve">rther </w:t>
      </w:r>
      <w:r>
        <w:t>disbursements</w:t>
      </w:r>
      <w:r w:rsidR="00C275D0">
        <w:t xml:space="preserve"> of the Project</w:t>
      </w:r>
      <w:r>
        <w:t xml:space="preserve">. </w:t>
      </w:r>
      <w:r w:rsidR="003137DC">
        <w:t>PIU and Maxsustrans will report about liquidation of this amount by the next withdrawal application for disbursement of loan funds.</w:t>
      </w:r>
    </w:p>
    <w:p w:rsidR="000B3738" w:rsidRDefault="000B3738">
      <w:pPr>
        <w:spacing w:line="240" w:lineRule="auto"/>
      </w:pPr>
    </w:p>
    <w:p w:rsidR="002F4FBD" w:rsidRPr="00713DAB" w:rsidRDefault="004E30FF">
      <w:pPr>
        <w:spacing w:line="240" w:lineRule="auto"/>
      </w:pPr>
      <w:r>
        <w:t xml:space="preserve">The following table includes the current status of disbursements </w:t>
      </w:r>
      <w:r w:rsidR="00B56A54">
        <w:t>per</w:t>
      </w:r>
      <w:r>
        <w:t xml:space="preserve"> each Project category </w:t>
      </w:r>
      <w:r w:rsidR="00B56A54">
        <w:t xml:space="preserve">of the </w:t>
      </w:r>
      <w:r>
        <w:t xml:space="preserve">Loan Agreement of ADB. </w:t>
      </w:r>
      <w:r w:rsidR="00C14561">
        <w:t>This data does not include the</w:t>
      </w:r>
      <w:r w:rsidR="00B56A54">
        <w:t xml:space="preserve"> outstanding</w:t>
      </w:r>
      <w:r w:rsidR="00C14561">
        <w:t xml:space="preserve"> balance o</w:t>
      </w:r>
      <w:r w:rsidR="00365ECC">
        <w:t>f</w:t>
      </w:r>
      <w:r w:rsidR="00C14561">
        <w:t xml:space="preserve"> the advance account as per 31 December 2020. </w:t>
      </w:r>
      <w:r>
        <w:t>Percentage of disburse</w:t>
      </w:r>
      <w:r w:rsidR="00C14561">
        <w:t xml:space="preserve">ments </w:t>
      </w:r>
      <w:r>
        <w:t xml:space="preserve">as per ADB Loan Agreement </w:t>
      </w:r>
      <w:r w:rsidR="00C14561">
        <w:t>was</w:t>
      </w:r>
      <w:r w:rsidRPr="001C65CF">
        <w:t xml:space="preserve"> </w:t>
      </w:r>
      <w:r w:rsidR="00C14561">
        <w:rPr>
          <w:b/>
        </w:rPr>
        <w:t>43.37% as per 31 December 2020</w:t>
      </w:r>
      <w:r w:rsidRPr="001C65CF">
        <w:t>.</w:t>
      </w:r>
    </w:p>
    <w:p w:rsidR="004E30FF" w:rsidRDefault="004E30FF">
      <w:pPr>
        <w:spacing w:line="240" w:lineRule="auto"/>
      </w:pPr>
      <w:r>
        <w:t xml:space="preserve">  </w:t>
      </w:r>
    </w:p>
    <w:tbl>
      <w:tblPr>
        <w:tblW w:w="4889" w:type="pct"/>
        <w:tblInd w:w="108" w:type="dxa"/>
        <w:tblLayout w:type="fixed"/>
        <w:tblLook w:val="04A0"/>
      </w:tblPr>
      <w:tblGrid>
        <w:gridCol w:w="709"/>
        <w:gridCol w:w="2410"/>
        <w:gridCol w:w="1662"/>
        <w:gridCol w:w="1468"/>
        <w:gridCol w:w="1689"/>
        <w:gridCol w:w="1559"/>
      </w:tblGrid>
      <w:tr w:rsidR="004D4193" w:rsidRPr="00680D60" w:rsidTr="00FD4A34">
        <w:trPr>
          <w:trHeight w:val="767"/>
        </w:trPr>
        <w:tc>
          <w:tcPr>
            <w:tcW w:w="373"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No</w:t>
            </w:r>
          </w:p>
        </w:tc>
        <w:tc>
          <w:tcPr>
            <w:tcW w:w="1269" w:type="pct"/>
            <w:tcBorders>
              <w:top w:val="single" w:sz="4" w:space="0" w:color="auto"/>
              <w:left w:val="nil"/>
              <w:bottom w:val="single" w:sz="4" w:space="0" w:color="auto"/>
              <w:right w:val="single" w:sz="4" w:space="0" w:color="auto"/>
            </w:tcBorders>
            <w:shd w:val="clear" w:color="000000" w:fill="EDEDED"/>
            <w:noWrap/>
            <w:vAlign w:val="center"/>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Item</w:t>
            </w:r>
          </w:p>
        </w:tc>
        <w:tc>
          <w:tcPr>
            <w:tcW w:w="1648" w:type="pct"/>
            <w:gridSpan w:val="2"/>
            <w:tcBorders>
              <w:top w:val="single" w:sz="4" w:space="0" w:color="auto"/>
              <w:left w:val="nil"/>
              <w:bottom w:val="single" w:sz="4" w:space="0" w:color="auto"/>
              <w:right w:val="single" w:sz="4" w:space="0" w:color="auto"/>
            </w:tcBorders>
            <w:shd w:val="clear" w:color="000000" w:fill="EDEDED"/>
            <w:vAlign w:val="center"/>
            <w:hideMark/>
          </w:tcPr>
          <w:p w:rsidR="00680D60" w:rsidRPr="00680D60" w:rsidRDefault="00680D60" w:rsidP="00454A88">
            <w:pPr>
              <w:suppressAutoHyphens w:val="0"/>
              <w:spacing w:line="240" w:lineRule="auto"/>
              <w:ind w:left="250"/>
              <w:jc w:val="center"/>
              <w:rPr>
                <w:rFonts w:eastAsia="Times New Roman" w:cs="Calibri"/>
                <w:b/>
                <w:bCs/>
                <w:color w:val="000000"/>
                <w:sz w:val="20"/>
              </w:rPr>
            </w:pPr>
            <w:r w:rsidRPr="00680D60">
              <w:rPr>
                <w:rFonts w:eastAsia="Times New Roman" w:cs="Calibri"/>
                <w:b/>
                <w:bCs/>
                <w:color w:val="000000"/>
                <w:sz w:val="20"/>
              </w:rPr>
              <w:t xml:space="preserve">Total Amount Allocated for </w:t>
            </w:r>
            <w:r w:rsidRPr="00680D60">
              <w:rPr>
                <w:rFonts w:eastAsia="Times New Roman" w:cs="Calibri"/>
                <w:b/>
                <w:bCs/>
                <w:color w:val="000000"/>
                <w:sz w:val="20"/>
              </w:rPr>
              <w:br/>
              <w:t>ADB Financing in USD</w:t>
            </w:r>
          </w:p>
        </w:tc>
        <w:tc>
          <w:tcPr>
            <w:tcW w:w="889" w:type="pct"/>
            <w:tcBorders>
              <w:top w:val="single" w:sz="4" w:space="0" w:color="auto"/>
              <w:left w:val="nil"/>
              <w:bottom w:val="single" w:sz="4" w:space="0" w:color="auto"/>
              <w:right w:val="single" w:sz="4" w:space="0" w:color="auto"/>
            </w:tcBorders>
            <w:shd w:val="clear" w:color="000000" w:fill="EDEDED"/>
            <w:vAlign w:val="center"/>
            <w:hideMark/>
          </w:tcPr>
          <w:p w:rsidR="00680D60" w:rsidRPr="00680D60" w:rsidRDefault="00680D60" w:rsidP="00454A88">
            <w:pPr>
              <w:suppressAutoHyphens w:val="0"/>
              <w:spacing w:line="240" w:lineRule="auto"/>
              <w:jc w:val="center"/>
              <w:rPr>
                <w:rFonts w:eastAsia="Times New Roman" w:cs="Calibri"/>
                <w:b/>
                <w:bCs/>
                <w:sz w:val="20"/>
              </w:rPr>
            </w:pPr>
            <w:r w:rsidRPr="00680D60">
              <w:rPr>
                <w:rFonts w:eastAsia="Times New Roman" w:cs="Calibri"/>
                <w:b/>
                <w:bCs/>
                <w:sz w:val="20"/>
              </w:rPr>
              <w:t>Disbursements as of 31.12.2020</w:t>
            </w:r>
          </w:p>
        </w:tc>
        <w:tc>
          <w:tcPr>
            <w:tcW w:w="821" w:type="pct"/>
            <w:tcBorders>
              <w:top w:val="single" w:sz="4" w:space="0" w:color="auto"/>
              <w:left w:val="nil"/>
              <w:bottom w:val="single" w:sz="4" w:space="0" w:color="auto"/>
              <w:right w:val="single" w:sz="4" w:space="0" w:color="auto"/>
            </w:tcBorders>
            <w:shd w:val="clear" w:color="000000" w:fill="EDEDED"/>
            <w:vAlign w:val="center"/>
            <w:hideMark/>
          </w:tcPr>
          <w:p w:rsidR="00680D60" w:rsidRPr="00680D60" w:rsidRDefault="00680D60" w:rsidP="00FD4A34">
            <w:pPr>
              <w:suppressAutoHyphens w:val="0"/>
              <w:spacing w:line="240" w:lineRule="auto"/>
              <w:jc w:val="center"/>
              <w:rPr>
                <w:rFonts w:eastAsia="Times New Roman" w:cs="Calibri"/>
                <w:b/>
                <w:bCs/>
                <w:sz w:val="20"/>
              </w:rPr>
            </w:pPr>
            <w:r w:rsidRPr="00680D60">
              <w:rPr>
                <w:rFonts w:eastAsia="Times New Roman" w:cs="Calibri"/>
                <w:b/>
                <w:bCs/>
                <w:sz w:val="20"/>
              </w:rPr>
              <w:t>Balance as of 31.12.2020</w:t>
            </w:r>
          </w:p>
        </w:tc>
      </w:tr>
      <w:tr w:rsidR="004D4193" w:rsidRPr="00680D60" w:rsidTr="00FD4A34">
        <w:trPr>
          <w:trHeight w:val="288"/>
        </w:trPr>
        <w:tc>
          <w:tcPr>
            <w:tcW w:w="373" w:type="pct"/>
            <w:tcBorders>
              <w:top w:val="nil"/>
              <w:left w:val="single" w:sz="4" w:space="0" w:color="auto"/>
              <w:bottom w:val="single" w:sz="4" w:space="0" w:color="auto"/>
              <w:right w:val="single" w:sz="4" w:space="0" w:color="auto"/>
            </w:tcBorders>
            <w:shd w:val="clear" w:color="000000" w:fill="EDEDED"/>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 </w:t>
            </w:r>
          </w:p>
        </w:tc>
        <w:tc>
          <w:tcPr>
            <w:tcW w:w="1269" w:type="pct"/>
            <w:tcBorders>
              <w:top w:val="nil"/>
              <w:left w:val="nil"/>
              <w:bottom w:val="single" w:sz="4" w:space="0" w:color="auto"/>
              <w:right w:val="single" w:sz="4" w:space="0" w:color="auto"/>
            </w:tcBorders>
            <w:shd w:val="clear" w:color="000000" w:fill="EDEDED"/>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 </w:t>
            </w:r>
          </w:p>
        </w:tc>
        <w:tc>
          <w:tcPr>
            <w:tcW w:w="875" w:type="pct"/>
            <w:tcBorders>
              <w:top w:val="nil"/>
              <w:left w:val="nil"/>
              <w:bottom w:val="single" w:sz="4" w:space="0" w:color="auto"/>
              <w:right w:val="single" w:sz="4" w:space="0" w:color="auto"/>
            </w:tcBorders>
            <w:shd w:val="clear" w:color="000000" w:fill="EDEDED"/>
            <w:noWrap/>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Category</w:t>
            </w:r>
          </w:p>
        </w:tc>
        <w:tc>
          <w:tcPr>
            <w:tcW w:w="773" w:type="pct"/>
            <w:tcBorders>
              <w:top w:val="nil"/>
              <w:left w:val="nil"/>
              <w:bottom w:val="single" w:sz="4" w:space="0" w:color="auto"/>
              <w:right w:val="single" w:sz="4" w:space="0" w:color="auto"/>
            </w:tcBorders>
            <w:shd w:val="clear" w:color="000000" w:fill="EDEDED"/>
            <w:noWrap/>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Subcategory</w:t>
            </w:r>
          </w:p>
        </w:tc>
        <w:tc>
          <w:tcPr>
            <w:tcW w:w="889" w:type="pct"/>
            <w:tcBorders>
              <w:top w:val="nil"/>
              <w:left w:val="nil"/>
              <w:bottom w:val="single" w:sz="4" w:space="0" w:color="auto"/>
              <w:right w:val="single" w:sz="4" w:space="0" w:color="auto"/>
            </w:tcBorders>
            <w:shd w:val="clear" w:color="000000" w:fill="EDEDED"/>
            <w:noWrap/>
            <w:hideMark/>
          </w:tcPr>
          <w:p w:rsidR="00680D60" w:rsidRPr="00680D60" w:rsidRDefault="00680D60" w:rsidP="00454A88">
            <w:pPr>
              <w:suppressAutoHyphens w:val="0"/>
              <w:spacing w:line="240" w:lineRule="auto"/>
              <w:jc w:val="center"/>
              <w:rPr>
                <w:rFonts w:eastAsia="Times New Roman" w:cs="Calibri"/>
                <w:sz w:val="20"/>
              </w:rPr>
            </w:pPr>
            <w:r w:rsidRPr="00680D60">
              <w:rPr>
                <w:rFonts w:eastAsia="Times New Roman" w:cs="Calibri"/>
                <w:sz w:val="20"/>
              </w:rPr>
              <w:t> </w:t>
            </w:r>
          </w:p>
        </w:tc>
        <w:tc>
          <w:tcPr>
            <w:tcW w:w="821" w:type="pct"/>
            <w:tcBorders>
              <w:top w:val="nil"/>
              <w:left w:val="nil"/>
              <w:bottom w:val="single" w:sz="4" w:space="0" w:color="auto"/>
              <w:right w:val="single" w:sz="4" w:space="0" w:color="auto"/>
            </w:tcBorders>
            <w:shd w:val="clear" w:color="000000" w:fill="EDEDED"/>
            <w:noWrap/>
            <w:hideMark/>
          </w:tcPr>
          <w:p w:rsidR="00680D60" w:rsidRPr="00680D60" w:rsidRDefault="00680D60" w:rsidP="00454A88">
            <w:pPr>
              <w:suppressAutoHyphens w:val="0"/>
              <w:spacing w:line="240" w:lineRule="auto"/>
              <w:jc w:val="center"/>
              <w:rPr>
                <w:rFonts w:eastAsia="Times New Roman" w:cs="Calibri"/>
                <w:sz w:val="20"/>
              </w:rPr>
            </w:pPr>
            <w:r w:rsidRPr="00680D60">
              <w:rPr>
                <w:rFonts w:eastAsia="Times New Roman" w:cs="Calibri"/>
                <w:sz w:val="20"/>
              </w:rPr>
              <w:t> </w:t>
            </w:r>
          </w:p>
        </w:tc>
      </w:tr>
      <w:tr w:rsidR="00FD4A34" w:rsidRPr="00680D60" w:rsidTr="00FD4A34">
        <w:trPr>
          <w:trHeight w:val="288"/>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b/>
                <w:color w:val="000000"/>
                <w:sz w:val="20"/>
              </w:rPr>
            </w:pPr>
            <w:r w:rsidRPr="00680D60">
              <w:rPr>
                <w:rFonts w:eastAsia="Times New Roman" w:cs="Calibri"/>
                <w:b/>
                <w:color w:val="000000"/>
                <w:sz w:val="20"/>
              </w:rPr>
              <w:t>1</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b/>
                <w:color w:val="000000"/>
                <w:sz w:val="20"/>
              </w:rPr>
            </w:pPr>
            <w:r w:rsidRPr="00680D60">
              <w:rPr>
                <w:rFonts w:eastAsia="Times New Roman" w:cs="Calibri"/>
                <w:b/>
                <w:color w:val="000000"/>
                <w:sz w:val="20"/>
              </w:rPr>
              <w:t>Civil Works</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bCs/>
                <w:color w:val="000000"/>
                <w:sz w:val="20"/>
              </w:rPr>
            </w:pPr>
            <w:r w:rsidRPr="00680D60">
              <w:rPr>
                <w:rFonts w:eastAsia="Times New Roman" w:cs="Calibri"/>
                <w:b/>
                <w:bCs/>
                <w:color w:val="000000"/>
                <w:sz w:val="20"/>
              </w:rPr>
              <w:t>33,600,480</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color w:val="000000"/>
                <w:sz w:val="20"/>
              </w:rPr>
            </w:pP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sz w:val="20"/>
              </w:rPr>
            </w:pPr>
            <w:r w:rsidRPr="00680D60">
              <w:rPr>
                <w:rFonts w:eastAsia="Times New Roman" w:cs="Calibri"/>
                <w:b/>
                <w:sz w:val="20"/>
              </w:rPr>
              <w:t>1,281,187 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sz w:val="20"/>
              </w:rPr>
            </w:pPr>
            <w:r w:rsidRPr="00680D60">
              <w:rPr>
                <w:rFonts w:eastAsia="Times New Roman" w:cs="Calibri"/>
                <w:b/>
                <w:bCs/>
                <w:sz w:val="20"/>
              </w:rPr>
              <w:t>32,319,293</w:t>
            </w:r>
            <w:r w:rsidRPr="00680D60">
              <w:rPr>
                <w:rFonts w:eastAsia="Times New Roman" w:cs="Calibri"/>
                <w:b/>
                <w:sz w:val="20"/>
              </w:rPr>
              <w:t> </w:t>
            </w:r>
          </w:p>
        </w:tc>
      </w:tr>
      <w:tr w:rsidR="00FD4A34" w:rsidRPr="00680D60" w:rsidTr="00FD4A34">
        <w:trPr>
          <w:trHeight w:val="288"/>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1A + 1B</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Landfill Construction &amp; Dumpsite Closure</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23,531,000</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0</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23,531,000</w:t>
            </w:r>
          </w:p>
        </w:tc>
      </w:tr>
      <w:tr w:rsidR="00FD4A34" w:rsidRPr="00680D60" w:rsidTr="00FD4A34">
        <w:trPr>
          <w:trHeight w:val="576"/>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lastRenderedPageBreak/>
              <w:t>1C</w:t>
            </w:r>
          </w:p>
        </w:tc>
        <w:tc>
          <w:tcPr>
            <w:tcW w:w="1269" w:type="pct"/>
            <w:tcBorders>
              <w:top w:val="nil"/>
              <w:left w:val="nil"/>
              <w:bottom w:val="single" w:sz="4" w:space="0" w:color="auto"/>
              <w:right w:val="single" w:sz="4" w:space="0" w:color="auto"/>
            </w:tcBorders>
            <w:shd w:val="clear" w:color="auto" w:fill="auto"/>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Transfer Station, Garages and Collection Points</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7,779,000</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0</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7,779,000</w:t>
            </w:r>
          </w:p>
        </w:tc>
      </w:tr>
      <w:tr w:rsidR="00FD4A34" w:rsidRPr="00680D60" w:rsidTr="00FD4A34">
        <w:trPr>
          <w:trHeight w:val="288"/>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1D</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Design &amp; Supervision</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2,290,480</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1,281,187</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1,009,293</w:t>
            </w:r>
          </w:p>
        </w:tc>
      </w:tr>
      <w:tr w:rsidR="00FD4A34" w:rsidRPr="00680D60" w:rsidTr="00FD4A34">
        <w:trPr>
          <w:trHeight w:val="12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 </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 </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 </w:t>
            </w:r>
          </w:p>
        </w:tc>
      </w:tr>
      <w:tr w:rsidR="00FD4A34" w:rsidRPr="00680D60" w:rsidTr="00FD4A34">
        <w:trPr>
          <w:trHeight w:val="288"/>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2</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b/>
                <w:bCs/>
                <w:color w:val="000000"/>
                <w:sz w:val="20"/>
              </w:rPr>
            </w:pPr>
            <w:r w:rsidRPr="00680D60">
              <w:rPr>
                <w:rFonts w:eastAsia="Times New Roman" w:cs="Calibri"/>
                <w:b/>
                <w:bCs/>
                <w:color w:val="000000"/>
                <w:sz w:val="20"/>
              </w:rPr>
              <w:t>Plant &amp; Equipment</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bCs/>
                <w:color w:val="000000"/>
                <w:sz w:val="20"/>
              </w:rPr>
            </w:pPr>
            <w:r w:rsidRPr="00680D60">
              <w:rPr>
                <w:rFonts w:eastAsia="Times New Roman" w:cs="Calibri"/>
                <w:b/>
                <w:bCs/>
                <w:color w:val="000000"/>
                <w:sz w:val="20"/>
              </w:rPr>
              <w:t>26,756,900</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E90FDC">
            <w:pPr>
              <w:suppressAutoHyphens w:val="0"/>
              <w:spacing w:line="240" w:lineRule="auto"/>
              <w:jc w:val="right"/>
              <w:rPr>
                <w:rFonts w:eastAsia="Times New Roman" w:cs="Calibri"/>
                <w:sz w:val="20"/>
              </w:rPr>
            </w:pPr>
            <w:r w:rsidRPr="00680D60">
              <w:rPr>
                <w:rFonts w:eastAsia="Times New Roman" w:cs="Calibri"/>
                <w:b/>
                <w:bCs/>
                <w:sz w:val="20"/>
              </w:rPr>
              <w:t>23,</w:t>
            </w:r>
            <w:r w:rsidR="00E90FDC">
              <w:rPr>
                <w:rFonts w:eastAsia="Times New Roman" w:cs="Calibri"/>
                <w:b/>
                <w:bCs/>
                <w:sz w:val="20"/>
              </w:rPr>
              <w:t>170</w:t>
            </w:r>
            <w:r w:rsidRPr="00680D60">
              <w:rPr>
                <w:rFonts w:eastAsia="Times New Roman" w:cs="Calibri"/>
                <w:b/>
                <w:bCs/>
                <w:sz w:val="20"/>
              </w:rPr>
              <w:t>,</w:t>
            </w:r>
            <w:r w:rsidR="00E90FDC">
              <w:rPr>
                <w:rFonts w:eastAsia="Times New Roman" w:cs="Calibri"/>
                <w:b/>
                <w:bCs/>
                <w:sz w:val="20"/>
              </w:rPr>
              <w:t>598</w:t>
            </w:r>
            <w:r w:rsidRPr="00680D60">
              <w:rPr>
                <w:rFonts w:eastAsia="Times New Roman" w:cs="Calibri"/>
                <w:sz w:val="20"/>
              </w:rPr>
              <w:t>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E90FDC" w:rsidP="00E90FDC">
            <w:pPr>
              <w:suppressAutoHyphens w:val="0"/>
              <w:spacing w:line="240" w:lineRule="auto"/>
              <w:jc w:val="right"/>
              <w:rPr>
                <w:rFonts w:eastAsia="Times New Roman" w:cs="Calibri"/>
                <w:sz w:val="20"/>
              </w:rPr>
            </w:pPr>
            <w:r>
              <w:rPr>
                <w:rFonts w:eastAsia="Times New Roman" w:cs="Calibri"/>
                <w:b/>
                <w:bCs/>
                <w:sz w:val="20"/>
              </w:rPr>
              <w:t>3</w:t>
            </w:r>
            <w:r w:rsidR="00680D60" w:rsidRPr="00680D60">
              <w:rPr>
                <w:rFonts w:eastAsia="Times New Roman" w:cs="Calibri"/>
                <w:b/>
                <w:bCs/>
                <w:sz w:val="20"/>
              </w:rPr>
              <w:t>,</w:t>
            </w:r>
            <w:r>
              <w:rPr>
                <w:rFonts w:eastAsia="Times New Roman" w:cs="Calibri"/>
                <w:b/>
                <w:bCs/>
                <w:sz w:val="20"/>
              </w:rPr>
              <w:t>586</w:t>
            </w:r>
            <w:r w:rsidR="00680D60" w:rsidRPr="00680D60">
              <w:rPr>
                <w:rFonts w:eastAsia="Times New Roman" w:cs="Calibri"/>
                <w:b/>
                <w:bCs/>
                <w:sz w:val="20"/>
              </w:rPr>
              <w:t>,</w:t>
            </w:r>
            <w:r>
              <w:rPr>
                <w:rFonts w:eastAsia="Times New Roman" w:cs="Calibri"/>
                <w:b/>
                <w:bCs/>
                <w:sz w:val="20"/>
              </w:rPr>
              <w:t>302</w:t>
            </w:r>
            <w:r w:rsidR="00680D60" w:rsidRPr="00680D60">
              <w:rPr>
                <w:rFonts w:eastAsia="Times New Roman" w:cs="Calibri"/>
                <w:sz w:val="20"/>
              </w:rPr>
              <w:t> </w:t>
            </w:r>
          </w:p>
        </w:tc>
      </w:tr>
      <w:tr w:rsidR="00FD4A34" w:rsidRPr="00680D60" w:rsidTr="00FD4A34">
        <w:trPr>
          <w:trHeight w:val="576"/>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2A</w:t>
            </w:r>
          </w:p>
        </w:tc>
        <w:tc>
          <w:tcPr>
            <w:tcW w:w="1269" w:type="pct"/>
            <w:tcBorders>
              <w:top w:val="nil"/>
              <w:left w:val="nil"/>
              <w:bottom w:val="single" w:sz="4" w:space="0" w:color="auto"/>
              <w:right w:val="single" w:sz="4" w:space="0" w:color="auto"/>
            </w:tcBorders>
            <w:shd w:val="clear" w:color="auto" w:fill="auto"/>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Landfill Equipment and Machinery</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3,800,000</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225,023</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3,574,977</w:t>
            </w:r>
          </w:p>
        </w:tc>
      </w:tr>
      <w:tr w:rsidR="00FD4A34" w:rsidRPr="00680D60" w:rsidTr="00FD4A34">
        <w:trPr>
          <w:trHeight w:val="576"/>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2B</w:t>
            </w:r>
          </w:p>
        </w:tc>
        <w:tc>
          <w:tcPr>
            <w:tcW w:w="1269" w:type="pct"/>
            <w:tcBorders>
              <w:top w:val="nil"/>
              <w:left w:val="nil"/>
              <w:bottom w:val="single" w:sz="4" w:space="0" w:color="auto"/>
              <w:right w:val="single" w:sz="4" w:space="0" w:color="auto"/>
            </w:tcBorders>
            <w:shd w:val="clear" w:color="auto" w:fill="auto"/>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Waste Collection and Transfer Trucks</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17,188,900</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17,177,900</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11,000</w:t>
            </w:r>
          </w:p>
        </w:tc>
      </w:tr>
      <w:tr w:rsidR="00FD4A34" w:rsidRPr="00680D60" w:rsidTr="00FD4A34">
        <w:trPr>
          <w:trHeight w:val="576"/>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2C</w:t>
            </w:r>
          </w:p>
        </w:tc>
        <w:tc>
          <w:tcPr>
            <w:tcW w:w="1269" w:type="pct"/>
            <w:tcBorders>
              <w:top w:val="nil"/>
              <w:left w:val="nil"/>
              <w:bottom w:val="single" w:sz="4" w:space="0" w:color="auto"/>
              <w:right w:val="single" w:sz="4" w:space="0" w:color="auto"/>
            </w:tcBorders>
            <w:shd w:val="clear" w:color="auto" w:fill="auto"/>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Waste Bins and other Equipment</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5,768,000</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1E0E80">
            <w:pPr>
              <w:suppressAutoHyphens w:val="0"/>
              <w:spacing w:line="240" w:lineRule="auto"/>
              <w:jc w:val="right"/>
              <w:rPr>
                <w:rFonts w:eastAsia="Times New Roman" w:cs="Calibri"/>
                <w:sz w:val="20"/>
              </w:rPr>
            </w:pPr>
            <w:r w:rsidRPr="00680D60">
              <w:rPr>
                <w:rFonts w:eastAsia="Times New Roman" w:cs="Calibri"/>
                <w:sz w:val="20"/>
              </w:rPr>
              <w:t>5,7</w:t>
            </w:r>
            <w:r w:rsidR="001E0E80">
              <w:rPr>
                <w:rFonts w:eastAsia="Times New Roman" w:cs="Calibri"/>
                <w:sz w:val="20"/>
              </w:rPr>
              <w:t>67</w:t>
            </w:r>
            <w:r w:rsidRPr="00680D60">
              <w:rPr>
                <w:rFonts w:eastAsia="Times New Roman" w:cs="Calibri"/>
                <w:sz w:val="20"/>
              </w:rPr>
              <w:t>,</w:t>
            </w:r>
            <w:r w:rsidR="001E0E80">
              <w:rPr>
                <w:rFonts w:eastAsia="Times New Roman" w:cs="Calibri"/>
                <w:sz w:val="20"/>
              </w:rPr>
              <w:t>675</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1E0E80" w:rsidP="00454A88">
            <w:pPr>
              <w:suppressAutoHyphens w:val="0"/>
              <w:spacing w:line="240" w:lineRule="auto"/>
              <w:jc w:val="right"/>
              <w:rPr>
                <w:rFonts w:eastAsia="Times New Roman" w:cs="Calibri"/>
                <w:sz w:val="20"/>
              </w:rPr>
            </w:pPr>
            <w:r>
              <w:rPr>
                <w:rFonts w:eastAsia="Times New Roman" w:cs="Calibri"/>
                <w:sz w:val="20"/>
              </w:rPr>
              <w:t>325</w:t>
            </w:r>
          </w:p>
        </w:tc>
      </w:tr>
      <w:tr w:rsidR="00FD4A34" w:rsidRPr="00680D60" w:rsidTr="00FD4A34">
        <w:trPr>
          <w:trHeight w:val="12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 </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 </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sz w:val="20"/>
              </w:rPr>
            </w:pPr>
            <w:r w:rsidRPr="00680D60">
              <w:rPr>
                <w:rFonts w:eastAsia="Times New Roman" w:cs="Calibri"/>
                <w:sz w:val="20"/>
              </w:rPr>
              <w:t> </w:t>
            </w:r>
          </w:p>
        </w:tc>
      </w:tr>
      <w:tr w:rsidR="00FD4A34" w:rsidRPr="00680D60" w:rsidTr="00FD4A34">
        <w:trPr>
          <w:trHeight w:val="51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3</w:t>
            </w:r>
          </w:p>
        </w:tc>
        <w:tc>
          <w:tcPr>
            <w:tcW w:w="1269" w:type="pct"/>
            <w:tcBorders>
              <w:top w:val="nil"/>
              <w:left w:val="nil"/>
              <w:bottom w:val="single" w:sz="4" w:space="0" w:color="auto"/>
              <w:right w:val="single" w:sz="4" w:space="0" w:color="auto"/>
            </w:tcBorders>
            <w:shd w:val="clear" w:color="auto" w:fill="auto"/>
            <w:hideMark/>
          </w:tcPr>
          <w:p w:rsidR="00680D60" w:rsidRPr="00680D60" w:rsidRDefault="00680D60" w:rsidP="00454A88">
            <w:pPr>
              <w:suppressAutoHyphens w:val="0"/>
              <w:spacing w:line="240" w:lineRule="auto"/>
              <w:jc w:val="left"/>
              <w:rPr>
                <w:rFonts w:eastAsia="Times New Roman" w:cs="Calibri"/>
                <w:b/>
                <w:bCs/>
                <w:color w:val="000000"/>
                <w:sz w:val="20"/>
              </w:rPr>
            </w:pPr>
            <w:r w:rsidRPr="00680D60">
              <w:rPr>
                <w:rFonts w:eastAsia="Times New Roman" w:cs="Calibri"/>
                <w:b/>
                <w:bCs/>
                <w:color w:val="000000"/>
                <w:sz w:val="20"/>
              </w:rPr>
              <w:t>Project Management, Capacity Development and</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bCs/>
                <w:color w:val="000000"/>
                <w:sz w:val="20"/>
              </w:rPr>
            </w:pPr>
            <w:r w:rsidRPr="00680D60">
              <w:rPr>
                <w:rFonts w:eastAsia="Times New Roman" w:cs="Calibri"/>
                <w:b/>
                <w:bCs/>
                <w:color w:val="000000"/>
                <w:sz w:val="20"/>
              </w:rPr>
              <w:t>4,168,193</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E90FDC" w:rsidP="00E90FDC">
            <w:pPr>
              <w:suppressAutoHyphens w:val="0"/>
              <w:spacing w:line="240" w:lineRule="auto"/>
              <w:jc w:val="right"/>
              <w:rPr>
                <w:rFonts w:eastAsia="Times New Roman" w:cs="Calibri"/>
                <w:sz w:val="20"/>
              </w:rPr>
            </w:pPr>
            <w:r>
              <w:rPr>
                <w:rFonts w:eastAsia="Times New Roman" w:cs="Calibri"/>
                <w:b/>
                <w:bCs/>
                <w:sz w:val="20"/>
              </w:rPr>
              <w:t>3</w:t>
            </w:r>
            <w:r w:rsidR="00680D60" w:rsidRPr="00680D60">
              <w:rPr>
                <w:rFonts w:eastAsia="Times New Roman" w:cs="Calibri"/>
                <w:b/>
                <w:bCs/>
                <w:sz w:val="20"/>
              </w:rPr>
              <w:t>,</w:t>
            </w:r>
            <w:r>
              <w:rPr>
                <w:rFonts w:eastAsia="Times New Roman" w:cs="Calibri"/>
                <w:b/>
                <w:bCs/>
                <w:sz w:val="20"/>
              </w:rPr>
              <w:t>408</w:t>
            </w:r>
            <w:r w:rsidR="00680D60" w:rsidRPr="00680D60">
              <w:rPr>
                <w:rFonts w:eastAsia="Times New Roman" w:cs="Calibri"/>
                <w:b/>
                <w:bCs/>
                <w:sz w:val="20"/>
              </w:rPr>
              <w:t>,</w:t>
            </w:r>
            <w:r>
              <w:rPr>
                <w:rFonts w:eastAsia="Times New Roman" w:cs="Calibri"/>
                <w:b/>
                <w:bCs/>
                <w:sz w:val="20"/>
              </w:rPr>
              <w:t>831</w:t>
            </w:r>
            <w:r w:rsidR="00680D60" w:rsidRPr="00680D60">
              <w:rPr>
                <w:rFonts w:eastAsia="Times New Roman" w:cs="Calibri"/>
                <w:sz w:val="20"/>
              </w:rPr>
              <w:t>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3B310C" w:rsidP="003B310C">
            <w:pPr>
              <w:suppressAutoHyphens w:val="0"/>
              <w:spacing w:line="240" w:lineRule="auto"/>
              <w:jc w:val="right"/>
              <w:rPr>
                <w:rFonts w:eastAsia="Times New Roman" w:cs="Calibri"/>
                <w:sz w:val="20"/>
              </w:rPr>
            </w:pPr>
            <w:r>
              <w:rPr>
                <w:rFonts w:eastAsia="Times New Roman" w:cs="Calibri"/>
                <w:b/>
                <w:bCs/>
                <w:sz w:val="20"/>
              </w:rPr>
              <w:t>759</w:t>
            </w:r>
            <w:r w:rsidR="00680D60" w:rsidRPr="00680D60">
              <w:rPr>
                <w:rFonts w:eastAsia="Times New Roman" w:cs="Calibri"/>
                <w:b/>
                <w:bCs/>
                <w:sz w:val="20"/>
              </w:rPr>
              <w:t>,</w:t>
            </w:r>
            <w:r>
              <w:rPr>
                <w:rFonts w:eastAsia="Times New Roman" w:cs="Calibri"/>
                <w:b/>
                <w:bCs/>
                <w:sz w:val="20"/>
              </w:rPr>
              <w:t>362</w:t>
            </w:r>
            <w:r w:rsidR="00680D60" w:rsidRPr="00680D60">
              <w:rPr>
                <w:rFonts w:eastAsia="Times New Roman" w:cs="Calibri"/>
                <w:sz w:val="20"/>
              </w:rPr>
              <w:t> </w:t>
            </w:r>
          </w:p>
        </w:tc>
      </w:tr>
      <w:tr w:rsidR="00FD4A34" w:rsidRPr="00680D60" w:rsidTr="00FD4A34">
        <w:trPr>
          <w:trHeight w:val="576"/>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3A</w:t>
            </w:r>
          </w:p>
        </w:tc>
        <w:tc>
          <w:tcPr>
            <w:tcW w:w="1269" w:type="pct"/>
            <w:tcBorders>
              <w:top w:val="nil"/>
              <w:left w:val="nil"/>
              <w:bottom w:val="single" w:sz="4" w:space="0" w:color="auto"/>
              <w:right w:val="single" w:sz="4" w:space="0" w:color="auto"/>
            </w:tcBorders>
            <w:shd w:val="clear" w:color="auto" w:fill="auto"/>
            <w:vAlign w:val="center"/>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Project Management Personal and Support</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2,517,958</w:t>
            </w:r>
          </w:p>
        </w:tc>
        <w:tc>
          <w:tcPr>
            <w:tcW w:w="889" w:type="pct"/>
            <w:tcBorders>
              <w:top w:val="nil"/>
              <w:left w:val="nil"/>
              <w:bottom w:val="nil"/>
              <w:right w:val="nil"/>
            </w:tcBorders>
            <w:shd w:val="clear" w:color="auto" w:fill="auto"/>
            <w:noWrap/>
            <w:vAlign w:val="center"/>
            <w:hideMark/>
          </w:tcPr>
          <w:p w:rsidR="00680D60" w:rsidRPr="00680D60" w:rsidRDefault="00680D60" w:rsidP="00E90FDC">
            <w:pPr>
              <w:suppressAutoHyphens w:val="0"/>
              <w:spacing w:line="240" w:lineRule="auto"/>
              <w:jc w:val="right"/>
              <w:rPr>
                <w:rFonts w:eastAsia="Times New Roman" w:cs="Calibri"/>
                <w:sz w:val="20"/>
              </w:rPr>
            </w:pPr>
            <w:r w:rsidRPr="00680D60">
              <w:rPr>
                <w:rFonts w:eastAsia="Times New Roman" w:cs="Calibri"/>
                <w:sz w:val="20"/>
              </w:rPr>
              <w:t>1,</w:t>
            </w:r>
            <w:r w:rsidR="00E90FDC">
              <w:rPr>
                <w:rFonts w:eastAsia="Times New Roman" w:cs="Calibri"/>
                <w:sz w:val="20"/>
              </w:rPr>
              <w:t>867</w:t>
            </w:r>
            <w:r w:rsidRPr="00680D60">
              <w:rPr>
                <w:rFonts w:eastAsia="Times New Roman" w:cs="Calibri"/>
                <w:sz w:val="20"/>
              </w:rPr>
              <w:t>,</w:t>
            </w:r>
            <w:r w:rsidR="00E90FDC">
              <w:rPr>
                <w:rFonts w:eastAsia="Times New Roman" w:cs="Calibri"/>
                <w:sz w:val="20"/>
              </w:rPr>
              <w:t>080</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3B310C" w:rsidP="003B310C">
            <w:pPr>
              <w:suppressAutoHyphens w:val="0"/>
              <w:spacing w:line="240" w:lineRule="auto"/>
              <w:jc w:val="right"/>
              <w:rPr>
                <w:rFonts w:eastAsia="Times New Roman" w:cs="Calibri"/>
                <w:sz w:val="20"/>
              </w:rPr>
            </w:pPr>
            <w:r>
              <w:rPr>
                <w:rFonts w:eastAsia="Times New Roman" w:cs="Calibri"/>
                <w:sz w:val="20"/>
              </w:rPr>
              <w:t>650</w:t>
            </w:r>
            <w:r w:rsidR="00680D60" w:rsidRPr="00680D60">
              <w:rPr>
                <w:rFonts w:eastAsia="Times New Roman" w:cs="Calibri"/>
                <w:sz w:val="20"/>
              </w:rPr>
              <w:t>,</w:t>
            </w:r>
            <w:r>
              <w:rPr>
                <w:rFonts w:eastAsia="Times New Roman" w:cs="Calibri"/>
                <w:sz w:val="20"/>
              </w:rPr>
              <w:t>878</w:t>
            </w:r>
          </w:p>
        </w:tc>
      </w:tr>
      <w:tr w:rsidR="00FD4A34" w:rsidRPr="00680D60" w:rsidTr="00FD4A34">
        <w:trPr>
          <w:trHeight w:val="375"/>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3B</w:t>
            </w:r>
          </w:p>
        </w:tc>
        <w:tc>
          <w:tcPr>
            <w:tcW w:w="1269" w:type="pct"/>
            <w:tcBorders>
              <w:top w:val="nil"/>
              <w:left w:val="nil"/>
              <w:bottom w:val="single" w:sz="4" w:space="0" w:color="auto"/>
              <w:right w:val="single" w:sz="4" w:space="0" w:color="auto"/>
            </w:tcBorders>
            <w:shd w:val="clear" w:color="auto" w:fill="auto"/>
            <w:vAlign w:val="center"/>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Capacity Development Program</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1,650,235</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680D60" w:rsidRPr="00680D60" w:rsidRDefault="00680D60" w:rsidP="00E90FDC">
            <w:pPr>
              <w:suppressAutoHyphens w:val="0"/>
              <w:spacing w:line="240" w:lineRule="auto"/>
              <w:jc w:val="right"/>
              <w:rPr>
                <w:rFonts w:eastAsia="Times New Roman" w:cs="Calibri"/>
                <w:sz w:val="20"/>
              </w:rPr>
            </w:pPr>
            <w:r w:rsidRPr="00680D60">
              <w:rPr>
                <w:rFonts w:eastAsia="Times New Roman" w:cs="Calibri"/>
                <w:sz w:val="20"/>
              </w:rPr>
              <w:t>1,</w:t>
            </w:r>
            <w:r w:rsidR="00E90FDC">
              <w:rPr>
                <w:rFonts w:eastAsia="Times New Roman" w:cs="Calibri"/>
                <w:sz w:val="20"/>
              </w:rPr>
              <w:t>541</w:t>
            </w:r>
            <w:r w:rsidRPr="00680D60">
              <w:rPr>
                <w:rFonts w:eastAsia="Times New Roman" w:cs="Calibri"/>
                <w:sz w:val="20"/>
              </w:rPr>
              <w:t>,</w:t>
            </w:r>
            <w:r w:rsidR="00E90FDC">
              <w:rPr>
                <w:rFonts w:eastAsia="Times New Roman" w:cs="Calibri"/>
                <w:sz w:val="20"/>
              </w:rPr>
              <w:t>751</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3B310C" w:rsidP="003B310C">
            <w:pPr>
              <w:suppressAutoHyphens w:val="0"/>
              <w:spacing w:line="240" w:lineRule="auto"/>
              <w:jc w:val="right"/>
              <w:rPr>
                <w:rFonts w:eastAsia="Times New Roman" w:cs="Calibri"/>
                <w:sz w:val="20"/>
              </w:rPr>
            </w:pPr>
            <w:r>
              <w:rPr>
                <w:rFonts w:eastAsia="Times New Roman" w:cs="Calibri"/>
                <w:sz w:val="20"/>
              </w:rPr>
              <w:t>108</w:t>
            </w:r>
            <w:r w:rsidR="00680D60" w:rsidRPr="00680D60">
              <w:rPr>
                <w:rFonts w:eastAsia="Times New Roman" w:cs="Calibri"/>
                <w:sz w:val="20"/>
              </w:rPr>
              <w:t>,</w:t>
            </w:r>
            <w:r>
              <w:rPr>
                <w:rFonts w:eastAsia="Times New Roman" w:cs="Calibri"/>
                <w:sz w:val="20"/>
              </w:rPr>
              <w:t>484</w:t>
            </w:r>
          </w:p>
        </w:tc>
      </w:tr>
      <w:tr w:rsidR="00FD4A34" w:rsidRPr="00680D60" w:rsidTr="00FD4A34">
        <w:trPr>
          <w:trHeight w:val="12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 </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 </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FF0000"/>
                <w:sz w:val="20"/>
              </w:rPr>
            </w:pPr>
            <w:r w:rsidRPr="00680D60">
              <w:rPr>
                <w:rFonts w:eastAsia="Times New Roman" w:cs="Calibri"/>
                <w:color w:val="FF0000"/>
                <w:sz w:val="20"/>
              </w:rPr>
              <w:t>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FF0000"/>
                <w:sz w:val="20"/>
              </w:rPr>
            </w:pPr>
            <w:r w:rsidRPr="00680D60">
              <w:rPr>
                <w:rFonts w:eastAsia="Times New Roman" w:cs="Calibri"/>
                <w:color w:val="FF0000"/>
                <w:sz w:val="20"/>
              </w:rPr>
              <w:t> </w:t>
            </w:r>
          </w:p>
        </w:tc>
      </w:tr>
      <w:tr w:rsidR="00FD4A34" w:rsidRPr="00680D60" w:rsidTr="00FD4A34">
        <w:trPr>
          <w:trHeight w:val="576"/>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4</w:t>
            </w:r>
          </w:p>
        </w:tc>
        <w:tc>
          <w:tcPr>
            <w:tcW w:w="1269" w:type="pct"/>
            <w:tcBorders>
              <w:top w:val="nil"/>
              <w:left w:val="nil"/>
              <w:bottom w:val="single" w:sz="4" w:space="0" w:color="auto"/>
              <w:right w:val="single" w:sz="4" w:space="0" w:color="auto"/>
            </w:tcBorders>
            <w:shd w:val="clear" w:color="auto" w:fill="auto"/>
            <w:hideMark/>
          </w:tcPr>
          <w:p w:rsidR="00680D60" w:rsidRPr="00680D60" w:rsidRDefault="00680D60" w:rsidP="00454A88">
            <w:pPr>
              <w:suppressAutoHyphens w:val="0"/>
              <w:spacing w:line="240" w:lineRule="auto"/>
              <w:jc w:val="left"/>
              <w:rPr>
                <w:rFonts w:eastAsia="Times New Roman" w:cs="Calibri"/>
                <w:b/>
                <w:bCs/>
                <w:color w:val="000000"/>
                <w:sz w:val="20"/>
              </w:rPr>
            </w:pPr>
            <w:r w:rsidRPr="00680D60">
              <w:rPr>
                <w:rFonts w:eastAsia="Times New Roman" w:cs="Calibri"/>
                <w:b/>
                <w:bCs/>
                <w:color w:val="000000"/>
                <w:sz w:val="20"/>
              </w:rPr>
              <w:t>Interest and Commitment Charges</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bCs/>
                <w:color w:val="000000"/>
                <w:sz w:val="20"/>
              </w:rPr>
            </w:pPr>
            <w:r w:rsidRPr="00680D60">
              <w:rPr>
                <w:rFonts w:eastAsia="Times New Roman" w:cs="Calibri"/>
                <w:b/>
                <w:bCs/>
                <w:color w:val="000000"/>
                <w:sz w:val="20"/>
              </w:rPr>
              <w:t>4,474,427</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sz w:val="20"/>
              </w:rPr>
            </w:pPr>
            <w:r w:rsidRPr="00680D60">
              <w:rPr>
                <w:rFonts w:eastAsia="Times New Roman" w:cs="Calibri"/>
                <w:b/>
                <w:sz w:val="20"/>
              </w:rPr>
              <w:t>2,071,370</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sz w:val="20"/>
              </w:rPr>
            </w:pPr>
            <w:r w:rsidRPr="00680D60">
              <w:rPr>
                <w:rFonts w:eastAsia="Times New Roman" w:cs="Calibri"/>
                <w:b/>
                <w:sz w:val="20"/>
              </w:rPr>
              <w:t>2,403,057</w:t>
            </w:r>
          </w:p>
        </w:tc>
      </w:tr>
      <w:tr w:rsidR="00FD4A34" w:rsidRPr="00680D60" w:rsidTr="00FD4A34">
        <w:trPr>
          <w:trHeight w:val="288"/>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b/>
                <w:bCs/>
                <w:color w:val="000000"/>
                <w:sz w:val="20"/>
              </w:rPr>
            </w:pPr>
            <w:r w:rsidRPr="00680D60">
              <w:rPr>
                <w:rFonts w:eastAsia="Times New Roman" w:cs="Calibri"/>
                <w:b/>
                <w:bCs/>
                <w:color w:val="000000"/>
                <w:sz w:val="20"/>
              </w:rPr>
              <w:t>5</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b/>
                <w:bCs/>
                <w:color w:val="000000"/>
                <w:sz w:val="20"/>
              </w:rPr>
            </w:pPr>
            <w:r w:rsidRPr="00680D60">
              <w:rPr>
                <w:rFonts w:eastAsia="Times New Roman" w:cs="Calibri"/>
                <w:b/>
                <w:bCs/>
                <w:color w:val="000000"/>
                <w:sz w:val="20"/>
              </w:rPr>
              <w:t>Unallocated</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bCs/>
                <w:color w:val="000000"/>
                <w:sz w:val="20"/>
              </w:rPr>
            </w:pPr>
            <w:r w:rsidRPr="00680D60">
              <w:rPr>
                <w:rFonts w:eastAsia="Times New Roman" w:cs="Calibri"/>
                <w:b/>
                <w:bCs/>
                <w:color w:val="000000"/>
                <w:sz w:val="20"/>
              </w:rPr>
              <w:t>-</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sz w:val="20"/>
              </w:rPr>
            </w:pPr>
            <w:r w:rsidRPr="00680D60">
              <w:rPr>
                <w:rFonts w:eastAsia="Times New Roman" w:cs="Calibri"/>
                <w:b/>
                <w:sz w:val="20"/>
              </w:rPr>
              <w:t>-</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b/>
                <w:sz w:val="20"/>
              </w:rPr>
            </w:pPr>
            <w:r w:rsidRPr="00680D60">
              <w:rPr>
                <w:rFonts w:eastAsia="Times New Roman" w:cs="Calibri"/>
                <w:b/>
                <w:sz w:val="20"/>
              </w:rPr>
              <w:t>-</w:t>
            </w:r>
          </w:p>
        </w:tc>
      </w:tr>
      <w:tr w:rsidR="00FD4A34" w:rsidRPr="00680D60" w:rsidTr="00FD4A34">
        <w:trPr>
          <w:trHeight w:val="120"/>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center"/>
              <w:rPr>
                <w:rFonts w:eastAsia="Times New Roman" w:cs="Calibri"/>
                <w:color w:val="000000"/>
                <w:sz w:val="20"/>
              </w:rPr>
            </w:pPr>
            <w:r w:rsidRPr="00680D60">
              <w:rPr>
                <w:rFonts w:eastAsia="Times New Roman" w:cs="Calibri"/>
                <w:color w:val="000000"/>
                <w:sz w:val="20"/>
              </w:rPr>
              <w:t> </w:t>
            </w:r>
          </w:p>
        </w:tc>
        <w:tc>
          <w:tcPr>
            <w:tcW w:w="1269" w:type="pct"/>
            <w:tcBorders>
              <w:top w:val="nil"/>
              <w:left w:val="nil"/>
              <w:bottom w:val="single" w:sz="4" w:space="0" w:color="auto"/>
              <w:right w:val="single" w:sz="4" w:space="0" w:color="auto"/>
            </w:tcBorders>
            <w:shd w:val="clear" w:color="auto" w:fill="auto"/>
            <w:noWrap/>
            <w:hideMark/>
          </w:tcPr>
          <w:p w:rsidR="00680D60" w:rsidRPr="00680D60" w:rsidRDefault="00680D60" w:rsidP="00454A88">
            <w:pPr>
              <w:suppressAutoHyphens w:val="0"/>
              <w:spacing w:line="240" w:lineRule="auto"/>
              <w:jc w:val="left"/>
              <w:rPr>
                <w:rFonts w:eastAsia="Times New Roman" w:cs="Calibri"/>
                <w:color w:val="000000"/>
                <w:sz w:val="20"/>
              </w:rPr>
            </w:pPr>
            <w:r w:rsidRPr="00680D60">
              <w:rPr>
                <w:rFonts w:eastAsia="Times New Roman" w:cs="Calibri"/>
                <w:color w:val="000000"/>
                <w:sz w:val="20"/>
              </w:rPr>
              <w:t> </w:t>
            </w:r>
          </w:p>
        </w:tc>
        <w:tc>
          <w:tcPr>
            <w:tcW w:w="875"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773"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000000"/>
                <w:sz w:val="20"/>
              </w:rPr>
            </w:pPr>
            <w:r w:rsidRPr="00680D60">
              <w:rPr>
                <w:rFonts w:eastAsia="Times New Roman" w:cs="Calibri"/>
                <w:color w:val="000000"/>
                <w:sz w:val="20"/>
              </w:rPr>
              <w:t> </w:t>
            </w:r>
          </w:p>
        </w:tc>
        <w:tc>
          <w:tcPr>
            <w:tcW w:w="889"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FF0000"/>
                <w:sz w:val="20"/>
              </w:rPr>
            </w:pPr>
            <w:r w:rsidRPr="00680D60">
              <w:rPr>
                <w:rFonts w:eastAsia="Times New Roman" w:cs="Calibri"/>
                <w:color w:val="FF0000"/>
                <w:sz w:val="20"/>
              </w:rPr>
              <w:t> </w:t>
            </w:r>
          </w:p>
        </w:tc>
        <w:tc>
          <w:tcPr>
            <w:tcW w:w="821" w:type="pct"/>
            <w:tcBorders>
              <w:top w:val="nil"/>
              <w:left w:val="nil"/>
              <w:bottom w:val="single" w:sz="4" w:space="0" w:color="auto"/>
              <w:right w:val="single" w:sz="4" w:space="0" w:color="auto"/>
            </w:tcBorders>
            <w:shd w:val="clear" w:color="auto" w:fill="auto"/>
            <w:noWrap/>
            <w:vAlign w:val="center"/>
            <w:hideMark/>
          </w:tcPr>
          <w:p w:rsidR="00680D60" w:rsidRPr="00680D60" w:rsidRDefault="00680D60" w:rsidP="00454A88">
            <w:pPr>
              <w:suppressAutoHyphens w:val="0"/>
              <w:spacing w:line="240" w:lineRule="auto"/>
              <w:jc w:val="right"/>
              <w:rPr>
                <w:rFonts w:eastAsia="Times New Roman" w:cs="Calibri"/>
                <w:color w:val="FF0000"/>
                <w:sz w:val="20"/>
              </w:rPr>
            </w:pPr>
            <w:r w:rsidRPr="00680D60">
              <w:rPr>
                <w:rFonts w:eastAsia="Times New Roman" w:cs="Calibri"/>
                <w:color w:val="FF0000"/>
                <w:sz w:val="20"/>
              </w:rPr>
              <w:t> </w:t>
            </w:r>
          </w:p>
        </w:tc>
      </w:tr>
      <w:tr w:rsidR="004D4193" w:rsidRPr="00680D60" w:rsidTr="00FD4A34">
        <w:trPr>
          <w:trHeight w:val="312"/>
        </w:trPr>
        <w:tc>
          <w:tcPr>
            <w:tcW w:w="373" w:type="pct"/>
            <w:tcBorders>
              <w:top w:val="nil"/>
              <w:left w:val="single" w:sz="4" w:space="0" w:color="auto"/>
              <w:bottom w:val="single" w:sz="4" w:space="0" w:color="auto"/>
              <w:right w:val="single" w:sz="4" w:space="0" w:color="auto"/>
            </w:tcBorders>
            <w:shd w:val="clear" w:color="000000" w:fill="FCE4D6"/>
            <w:noWrap/>
            <w:vAlign w:val="center"/>
            <w:hideMark/>
          </w:tcPr>
          <w:p w:rsidR="00680D60" w:rsidRPr="00680D60" w:rsidRDefault="00680D60" w:rsidP="00454A88">
            <w:pPr>
              <w:suppressAutoHyphens w:val="0"/>
              <w:spacing w:line="240" w:lineRule="auto"/>
              <w:jc w:val="center"/>
              <w:rPr>
                <w:rFonts w:eastAsia="Times New Roman" w:cs="Calibri"/>
                <w:b/>
                <w:bCs/>
                <w:color w:val="000000"/>
                <w:szCs w:val="24"/>
              </w:rPr>
            </w:pPr>
            <w:r w:rsidRPr="00680D60">
              <w:rPr>
                <w:rFonts w:eastAsia="Times New Roman" w:cs="Calibri"/>
                <w:b/>
                <w:bCs/>
                <w:color w:val="000000"/>
                <w:szCs w:val="24"/>
              </w:rPr>
              <w:t> </w:t>
            </w:r>
          </w:p>
        </w:tc>
        <w:tc>
          <w:tcPr>
            <w:tcW w:w="1269" w:type="pct"/>
            <w:tcBorders>
              <w:top w:val="nil"/>
              <w:left w:val="nil"/>
              <w:bottom w:val="single" w:sz="4" w:space="0" w:color="auto"/>
              <w:right w:val="single" w:sz="4" w:space="0" w:color="auto"/>
            </w:tcBorders>
            <w:shd w:val="clear" w:color="000000" w:fill="FCE4D6"/>
            <w:noWrap/>
            <w:hideMark/>
          </w:tcPr>
          <w:p w:rsidR="00680D60" w:rsidRPr="00680D60" w:rsidRDefault="00680D60" w:rsidP="00454A88">
            <w:pPr>
              <w:suppressAutoHyphens w:val="0"/>
              <w:spacing w:line="240" w:lineRule="auto"/>
              <w:jc w:val="center"/>
              <w:rPr>
                <w:rFonts w:eastAsia="Times New Roman" w:cs="Calibri"/>
                <w:b/>
                <w:bCs/>
                <w:color w:val="000000"/>
                <w:szCs w:val="24"/>
              </w:rPr>
            </w:pPr>
            <w:r w:rsidRPr="00680D60">
              <w:rPr>
                <w:rFonts w:eastAsia="Times New Roman" w:cs="Calibri"/>
                <w:b/>
                <w:bCs/>
                <w:color w:val="000000"/>
                <w:szCs w:val="24"/>
              </w:rPr>
              <w:t>Total</w:t>
            </w:r>
          </w:p>
        </w:tc>
        <w:tc>
          <w:tcPr>
            <w:tcW w:w="875" w:type="pct"/>
            <w:tcBorders>
              <w:top w:val="nil"/>
              <w:left w:val="nil"/>
              <w:bottom w:val="single" w:sz="4" w:space="0" w:color="auto"/>
              <w:right w:val="single" w:sz="4" w:space="0" w:color="auto"/>
            </w:tcBorders>
            <w:shd w:val="clear" w:color="000000" w:fill="FCE4D6"/>
            <w:noWrap/>
            <w:hideMark/>
          </w:tcPr>
          <w:p w:rsidR="00680D60" w:rsidRPr="00680D60" w:rsidRDefault="00680D60" w:rsidP="00454A88">
            <w:pPr>
              <w:suppressAutoHyphens w:val="0"/>
              <w:spacing w:line="240" w:lineRule="auto"/>
              <w:jc w:val="right"/>
              <w:rPr>
                <w:rFonts w:eastAsia="Times New Roman" w:cs="Calibri"/>
                <w:b/>
                <w:bCs/>
                <w:color w:val="000000"/>
                <w:szCs w:val="24"/>
              </w:rPr>
            </w:pPr>
            <w:r w:rsidRPr="00680D60">
              <w:rPr>
                <w:rFonts w:eastAsia="Times New Roman" w:cs="Calibri"/>
                <w:b/>
                <w:bCs/>
                <w:color w:val="000000"/>
                <w:szCs w:val="24"/>
              </w:rPr>
              <w:t>69,000,000</w:t>
            </w:r>
          </w:p>
        </w:tc>
        <w:tc>
          <w:tcPr>
            <w:tcW w:w="773" w:type="pct"/>
            <w:tcBorders>
              <w:top w:val="nil"/>
              <w:left w:val="nil"/>
              <w:bottom w:val="single" w:sz="4" w:space="0" w:color="auto"/>
              <w:right w:val="single" w:sz="4" w:space="0" w:color="auto"/>
            </w:tcBorders>
            <w:shd w:val="clear" w:color="000000" w:fill="FCE4D6"/>
            <w:noWrap/>
            <w:hideMark/>
          </w:tcPr>
          <w:p w:rsidR="00680D60" w:rsidRPr="00680D60" w:rsidRDefault="00680D60" w:rsidP="00454A88">
            <w:pPr>
              <w:suppressAutoHyphens w:val="0"/>
              <w:spacing w:line="240" w:lineRule="auto"/>
              <w:jc w:val="right"/>
              <w:rPr>
                <w:rFonts w:eastAsia="Times New Roman" w:cs="Calibri"/>
                <w:b/>
                <w:bCs/>
                <w:color w:val="000000"/>
                <w:szCs w:val="24"/>
              </w:rPr>
            </w:pPr>
            <w:r w:rsidRPr="00680D60">
              <w:rPr>
                <w:rFonts w:eastAsia="Times New Roman" w:cs="Calibri"/>
                <w:b/>
                <w:bCs/>
                <w:color w:val="000000"/>
                <w:szCs w:val="24"/>
              </w:rPr>
              <w:t> </w:t>
            </w:r>
          </w:p>
        </w:tc>
        <w:tc>
          <w:tcPr>
            <w:tcW w:w="889" w:type="pct"/>
            <w:tcBorders>
              <w:top w:val="nil"/>
              <w:left w:val="nil"/>
              <w:bottom w:val="single" w:sz="4" w:space="0" w:color="auto"/>
              <w:right w:val="single" w:sz="4" w:space="0" w:color="auto"/>
            </w:tcBorders>
            <w:shd w:val="clear" w:color="000000" w:fill="FCE4D6"/>
            <w:noWrap/>
            <w:hideMark/>
          </w:tcPr>
          <w:p w:rsidR="00680D60" w:rsidRPr="00680D60" w:rsidRDefault="00680D60" w:rsidP="003B310C">
            <w:pPr>
              <w:suppressAutoHyphens w:val="0"/>
              <w:spacing w:line="240" w:lineRule="auto"/>
              <w:jc w:val="right"/>
              <w:rPr>
                <w:rFonts w:eastAsia="Times New Roman" w:cs="Calibri"/>
                <w:b/>
                <w:bCs/>
                <w:szCs w:val="24"/>
              </w:rPr>
            </w:pPr>
            <w:r w:rsidRPr="00680D60">
              <w:rPr>
                <w:rFonts w:eastAsia="Times New Roman" w:cs="Calibri"/>
                <w:b/>
                <w:bCs/>
                <w:szCs w:val="24"/>
              </w:rPr>
              <w:t>29,</w:t>
            </w:r>
            <w:r w:rsidR="003B310C">
              <w:rPr>
                <w:rFonts w:eastAsia="Times New Roman" w:cs="Calibri"/>
                <w:b/>
                <w:bCs/>
                <w:szCs w:val="24"/>
              </w:rPr>
              <w:t>931</w:t>
            </w:r>
            <w:r w:rsidRPr="00680D60">
              <w:rPr>
                <w:rFonts w:eastAsia="Times New Roman" w:cs="Calibri"/>
                <w:b/>
                <w:bCs/>
                <w:szCs w:val="24"/>
              </w:rPr>
              <w:t>,</w:t>
            </w:r>
            <w:r w:rsidR="003B310C">
              <w:rPr>
                <w:rFonts w:eastAsia="Times New Roman" w:cs="Calibri"/>
                <w:b/>
                <w:bCs/>
                <w:szCs w:val="24"/>
              </w:rPr>
              <w:t>986</w:t>
            </w:r>
          </w:p>
        </w:tc>
        <w:tc>
          <w:tcPr>
            <w:tcW w:w="821" w:type="pct"/>
            <w:tcBorders>
              <w:top w:val="nil"/>
              <w:left w:val="nil"/>
              <w:bottom w:val="single" w:sz="4" w:space="0" w:color="auto"/>
              <w:right w:val="single" w:sz="4" w:space="0" w:color="auto"/>
            </w:tcBorders>
            <w:shd w:val="clear" w:color="000000" w:fill="FCE4D6"/>
            <w:noWrap/>
            <w:hideMark/>
          </w:tcPr>
          <w:p w:rsidR="00680D60" w:rsidRPr="00680D60" w:rsidRDefault="00680D60" w:rsidP="003B310C">
            <w:pPr>
              <w:suppressAutoHyphens w:val="0"/>
              <w:spacing w:line="240" w:lineRule="auto"/>
              <w:jc w:val="right"/>
              <w:rPr>
                <w:rFonts w:eastAsia="Times New Roman" w:cs="Calibri"/>
                <w:b/>
                <w:bCs/>
                <w:szCs w:val="24"/>
              </w:rPr>
            </w:pPr>
            <w:r w:rsidRPr="00680D60">
              <w:rPr>
                <w:rFonts w:eastAsia="Times New Roman" w:cs="Calibri"/>
                <w:b/>
                <w:bCs/>
                <w:szCs w:val="24"/>
              </w:rPr>
              <w:t>39,</w:t>
            </w:r>
            <w:r w:rsidR="003B310C">
              <w:rPr>
                <w:rFonts w:eastAsia="Times New Roman" w:cs="Calibri"/>
                <w:b/>
                <w:bCs/>
                <w:szCs w:val="24"/>
              </w:rPr>
              <w:t>068</w:t>
            </w:r>
            <w:r w:rsidRPr="00680D60">
              <w:rPr>
                <w:rFonts w:eastAsia="Times New Roman" w:cs="Calibri"/>
                <w:b/>
                <w:bCs/>
                <w:szCs w:val="24"/>
              </w:rPr>
              <w:t>,</w:t>
            </w:r>
            <w:r w:rsidR="003B310C">
              <w:rPr>
                <w:rFonts w:eastAsia="Times New Roman" w:cs="Calibri"/>
                <w:b/>
                <w:bCs/>
                <w:szCs w:val="24"/>
              </w:rPr>
              <w:t>014</w:t>
            </w:r>
          </w:p>
        </w:tc>
      </w:tr>
    </w:tbl>
    <w:p w:rsidR="00680D60" w:rsidRDefault="00680D60">
      <w:pPr>
        <w:spacing w:line="240" w:lineRule="auto"/>
      </w:pPr>
    </w:p>
    <w:p w:rsidR="004E30FF" w:rsidRPr="00713DAB" w:rsidRDefault="004E30FF">
      <w:pPr>
        <w:spacing w:line="240" w:lineRule="auto"/>
      </w:pPr>
      <w:r>
        <w:t>Disb</w:t>
      </w:r>
      <w:r w:rsidR="00B65057">
        <w:t xml:space="preserve">ursement Plan </w:t>
      </w:r>
      <w:r w:rsidR="003E1695">
        <w:t xml:space="preserve">for January – June 2021 </w:t>
      </w:r>
      <w:r w:rsidR="00862FA2">
        <w:t>related to ongoing contract</w:t>
      </w:r>
      <w:r w:rsidR="00480A7D">
        <w:t>s</w:t>
      </w:r>
      <w:r w:rsidR="00862FA2">
        <w:t xml:space="preserve"> and the contracts to be awarded </w:t>
      </w:r>
      <w:r>
        <w:t xml:space="preserve">is presented in </w:t>
      </w:r>
      <w:r w:rsidRPr="00BA3081">
        <w:rPr>
          <w:highlight w:val="yellow"/>
        </w:rPr>
        <w:t xml:space="preserve">Annex </w:t>
      </w:r>
      <w:r w:rsidR="0007286C" w:rsidRPr="00BA3081">
        <w:rPr>
          <w:highlight w:val="yellow"/>
        </w:rPr>
        <w:t>3</w:t>
      </w:r>
      <w:r w:rsidR="0007286C" w:rsidRPr="007E0A1B">
        <w:t>.</w:t>
      </w:r>
    </w:p>
    <w:p w:rsidR="004E30FF" w:rsidRDefault="004E30FF">
      <w:pPr>
        <w:spacing w:line="240" w:lineRule="auto"/>
      </w:pPr>
      <w:bookmarkStart w:id="17" w:name="_Hlk497301847"/>
      <w:bookmarkEnd w:id="17"/>
    </w:p>
    <w:p w:rsidR="0007118A" w:rsidRDefault="00AB3EBC">
      <w:pPr>
        <w:spacing w:line="240" w:lineRule="auto"/>
      </w:pPr>
      <w:r>
        <w:t>Currently</w:t>
      </w:r>
      <w:r w:rsidR="00387E2C">
        <w:t>,</w:t>
      </w:r>
      <w:r>
        <w:t xml:space="preserve"> 8 contracts are on-going for the total amount $8.97 million, of which: 5 services contracts; 2 goods contracts and 1 works contract. As of 31 December 2020 the undisbursed amount is $5.78 million </w:t>
      </w:r>
      <w:r w:rsidR="0040533A">
        <w:t xml:space="preserve">that equals to 64.4%. </w:t>
      </w:r>
      <w:r w:rsidR="0007118A">
        <w:t xml:space="preserve">In the coming months of 2021 the award of the contract CW2: Transfer Station Rehabilitation is expected for the amount of approx. $7.0 million. Award of the contract CW1: Sanitary Landfill Establishment and Dumpsite Closure </w:t>
      </w:r>
      <w:proofErr w:type="gramStart"/>
      <w:r w:rsidR="0007118A">
        <w:t>seems</w:t>
      </w:r>
      <w:proofErr w:type="gramEnd"/>
      <w:r w:rsidR="0007118A">
        <w:t xml:space="preserve"> rather not possible within the remaining 6 months until Loan Closing Date (30 June 2021). </w:t>
      </w:r>
    </w:p>
    <w:p w:rsidR="0007118A" w:rsidRDefault="0007118A">
      <w:pPr>
        <w:spacing w:line="240" w:lineRule="auto"/>
      </w:pPr>
    </w:p>
    <w:p w:rsidR="002929E3" w:rsidRDefault="0007118A">
      <w:pPr>
        <w:spacing w:line="240" w:lineRule="auto"/>
      </w:pPr>
      <w:r>
        <w:t xml:space="preserve">According to the Disbursement Plan for January – June 2021 about $9.0 million is expected to disburse. This plan includes also the disbursed amount $180,156 for Project Management Support (PIU operational costs) until June 2021. </w:t>
      </w:r>
    </w:p>
    <w:p w:rsidR="00CB51A8" w:rsidRDefault="00CB51A8">
      <w:pPr>
        <w:spacing w:line="240" w:lineRule="auto"/>
      </w:pPr>
    </w:p>
    <w:p w:rsidR="00CB51A8" w:rsidRDefault="00CB51A8">
      <w:pPr>
        <w:spacing w:line="240" w:lineRule="auto"/>
      </w:pPr>
      <w:r>
        <w:t>The following contracts are under certain risk to be completed by the Loan Closing Date with outstanding balance of the contract amount: C1 – PIU Consultants ($3</w:t>
      </w:r>
      <w:r w:rsidR="00387E2C">
        <w:t>19</w:t>
      </w:r>
      <w:r>
        <w:t xml:space="preserve">,000); C2 – Landfill Supervision Consultants ($586,000); C7 – Transfer Station Supervision Consultants ($11,000) and CW2 - Transfer Station Rehabilitation ($3.0 million). In total $3.92 million can be undisbursed until 30 June 2021. </w:t>
      </w:r>
    </w:p>
    <w:p w:rsidR="00AB3EBC" w:rsidRDefault="00AB3EBC">
      <w:pPr>
        <w:spacing w:line="240" w:lineRule="auto"/>
      </w:pPr>
    </w:p>
    <w:p w:rsidR="00AB3EBC" w:rsidRDefault="00C11832">
      <w:pPr>
        <w:spacing w:line="240" w:lineRule="auto"/>
      </w:pPr>
      <w:r>
        <w:t xml:space="preserve">To be noted, that the outstanding balance under PCSS No. 0005 (Project Management Personnel and Support) can be not enough for covering the future costs of PIU. The current balance is $164,695.91, but the estimated disbursements until 30 June 2021 is $180,156. </w:t>
      </w:r>
      <w:r w:rsidR="00375A9A">
        <w:t xml:space="preserve">A </w:t>
      </w:r>
      <w:r w:rsidR="009765CB">
        <w:t xml:space="preserve">deficit can be covered from the undisbursed amount under the Contract PCSS No. 0008 (PIU Consultants), because these two contracts are in the same Loan category 03A.  </w:t>
      </w:r>
    </w:p>
    <w:p w:rsidR="00C11832" w:rsidRDefault="00C11832">
      <w:pPr>
        <w:spacing w:line="240" w:lineRule="auto"/>
      </w:pPr>
    </w:p>
    <w:p w:rsidR="005F799F" w:rsidRDefault="005F799F">
      <w:pPr>
        <w:spacing w:line="240" w:lineRule="auto"/>
      </w:pPr>
    </w:p>
    <w:p w:rsidR="004E30FF" w:rsidRDefault="004E30FF" w:rsidP="0068226E">
      <w:pPr>
        <w:pStyle w:val="2"/>
        <w:numPr>
          <w:ilvl w:val="1"/>
          <w:numId w:val="5"/>
        </w:numPr>
        <w:spacing w:before="0"/>
      </w:pPr>
      <w:bookmarkStart w:id="18" w:name="_Toc64301504"/>
      <w:bookmarkEnd w:id="16"/>
      <w:r>
        <w:lastRenderedPageBreak/>
        <w:t xml:space="preserve">Safeguards </w:t>
      </w:r>
      <w:r w:rsidR="0068226E">
        <w:t>I</w:t>
      </w:r>
      <w:r>
        <w:t>mplementation, Monitoring and Evaluation</w:t>
      </w:r>
      <w:r w:rsidR="0068226E">
        <w:t xml:space="preserve"> </w:t>
      </w:r>
      <w:r>
        <w:t>(TOR Task E)</w:t>
      </w:r>
      <w:bookmarkEnd w:id="18"/>
    </w:p>
    <w:p w:rsidR="004E30FF" w:rsidRDefault="004E30FF">
      <w:pPr>
        <w:spacing w:line="240" w:lineRule="auto"/>
        <w:rPr>
          <w:sz w:val="24"/>
          <w:highlight w:val="yellow"/>
        </w:rPr>
      </w:pPr>
      <w:bookmarkStart w:id="19" w:name="_Hlk527042902"/>
    </w:p>
    <w:bookmarkEnd w:id="19"/>
    <w:p w:rsidR="00CB2798" w:rsidRDefault="00CB2798" w:rsidP="00CB2798">
      <w:pPr>
        <w:pStyle w:val="aff0"/>
        <w:spacing w:before="0" w:beforeAutospacing="0" w:after="0" w:afterAutospacing="0"/>
        <w:jc w:val="both"/>
      </w:pPr>
      <w:r w:rsidRPr="00CB2798">
        <w:t xml:space="preserve">The Consultant </w:t>
      </w:r>
      <w:r>
        <w:t xml:space="preserve">shall </w:t>
      </w:r>
      <w:r w:rsidRPr="00CB2798">
        <w:t>assist the PIU with the implementation of project development, particularly the construction activities in accordance with ADB</w:t>
      </w:r>
      <w:r w:rsidR="00EB6FCC">
        <w:t>’s</w:t>
      </w:r>
      <w:r w:rsidRPr="00CB2798">
        <w:t xml:space="preserve"> Safegu</w:t>
      </w:r>
      <w:r>
        <w:t>ard Policy. The Consultant shall h</w:t>
      </w:r>
      <w:r w:rsidRPr="00CB2798">
        <w:t>elp the PIU address environmental and social risks associated with the project implementation and provide guidance to minimize, mitigate and if not avoid adverse impacts potentially feasible.</w:t>
      </w:r>
    </w:p>
    <w:p w:rsidR="00CB2798" w:rsidRDefault="00CB2798" w:rsidP="00CF7509">
      <w:pPr>
        <w:pStyle w:val="aff0"/>
        <w:spacing w:before="0" w:beforeAutospacing="0" w:after="0" w:afterAutospacing="0"/>
      </w:pPr>
    </w:p>
    <w:p w:rsidR="00CB2798" w:rsidRDefault="00CB2798" w:rsidP="00CB2798">
      <w:pPr>
        <w:pStyle w:val="3"/>
      </w:pPr>
      <w:r>
        <w:t>Social Safeguard Monitoring</w:t>
      </w:r>
    </w:p>
    <w:p w:rsidR="00CB2798" w:rsidRPr="00653E84" w:rsidRDefault="00CB2798" w:rsidP="00CF7509">
      <w:pPr>
        <w:pStyle w:val="aff0"/>
        <w:spacing w:before="0" w:beforeAutospacing="0" w:after="0" w:afterAutospacing="0"/>
      </w:pPr>
    </w:p>
    <w:p w:rsidR="000A772D" w:rsidRDefault="000A772D" w:rsidP="000A772D">
      <w:pPr>
        <w:pStyle w:val="aff0"/>
        <w:spacing w:before="0" w:beforeAutospacing="0" w:after="0" w:afterAutospacing="0"/>
        <w:jc w:val="both"/>
      </w:pPr>
      <w:r>
        <w:t xml:space="preserve">The main objective of </w:t>
      </w:r>
      <w:r w:rsidR="00EB6FCC">
        <w:t xml:space="preserve">social </w:t>
      </w:r>
      <w:r>
        <w:t xml:space="preserve">safeguard monitoring </w:t>
      </w:r>
      <w:r w:rsidR="00EB6FCC">
        <w:t xml:space="preserve">under the Project </w:t>
      </w:r>
      <w:r>
        <w:t xml:space="preserve">is to provide assessment on </w:t>
      </w:r>
      <w:r w:rsidR="00EB6FCC">
        <w:t xml:space="preserve">involuntary resettlement </w:t>
      </w:r>
      <w:r>
        <w:t xml:space="preserve">issues on any negative project potential impacts or any other social concerns that may occur during project implementation. </w:t>
      </w:r>
      <w:r w:rsidRPr="00D8254D">
        <w:t>Monitoring and evaluation</w:t>
      </w:r>
      <w:r>
        <w:t xml:space="preserve"> was</w:t>
      </w:r>
      <w:r w:rsidRPr="00D8254D">
        <w:t xml:space="preserve"> directed to confirm that the project implementation does not trigger ADB’s Safeguard Policy Statement (2009)’s Safeguard Requirements</w:t>
      </w:r>
      <w:r>
        <w:t>.</w:t>
      </w:r>
    </w:p>
    <w:p w:rsidR="000A772D" w:rsidRDefault="000A772D" w:rsidP="000A772D">
      <w:pPr>
        <w:pStyle w:val="aff0"/>
        <w:spacing w:before="0" w:beforeAutospacing="0" w:after="0" w:afterAutospacing="0"/>
        <w:jc w:val="both"/>
      </w:pPr>
    </w:p>
    <w:p w:rsidR="00F30BB2" w:rsidRDefault="00EB6FCC" w:rsidP="00F30BB2">
      <w:pPr>
        <w:pStyle w:val="aff0"/>
        <w:spacing w:before="0" w:beforeAutospacing="0" w:after="0" w:afterAutospacing="0"/>
        <w:jc w:val="both"/>
      </w:pPr>
      <w:r>
        <w:t>During 2020 t</w:t>
      </w:r>
      <w:r w:rsidR="000A772D">
        <w:t>he social safeguard monitoring wa</w:t>
      </w:r>
      <w:r w:rsidR="004133FB">
        <w:t xml:space="preserve">s carried out </w:t>
      </w:r>
      <w:r>
        <w:t xml:space="preserve">by Ms. Maria </w:t>
      </w:r>
      <w:proofErr w:type="spellStart"/>
      <w:r>
        <w:t>Malinovskaya</w:t>
      </w:r>
      <w:proofErr w:type="spellEnd"/>
      <w:r>
        <w:t xml:space="preserve">, the Social Safeguard and Development Specialist of PIU Consultant </w:t>
      </w:r>
      <w:r w:rsidR="004133FB">
        <w:t>on semiannual basis</w:t>
      </w:r>
      <w:r>
        <w:t xml:space="preserve"> and related to the </w:t>
      </w:r>
      <w:proofErr w:type="spellStart"/>
      <w:r>
        <w:t>Akhangaran</w:t>
      </w:r>
      <w:proofErr w:type="spellEnd"/>
      <w:r>
        <w:t xml:space="preserve"> landfill site only</w:t>
      </w:r>
      <w:r w:rsidR="004133FB">
        <w:t xml:space="preserve">. </w:t>
      </w:r>
      <w:r>
        <w:t xml:space="preserve">In </w:t>
      </w:r>
      <w:r w:rsidR="00F30BB2">
        <w:t>2020</w:t>
      </w:r>
      <w:r>
        <w:t xml:space="preserve"> PIU Consultant </w:t>
      </w:r>
      <w:r w:rsidR="00F30BB2">
        <w:t>has</w:t>
      </w:r>
      <w:r>
        <w:t xml:space="preserve"> prepared and subm</w:t>
      </w:r>
      <w:r w:rsidR="00F30BB2">
        <w:t xml:space="preserve">itted </w:t>
      </w:r>
      <w:r>
        <w:t>to PIU and the Client two s</w:t>
      </w:r>
      <w:r w:rsidR="00F30BB2">
        <w:t xml:space="preserve">emi-annual Social Safeguard Monitoring Reports covering the period </w:t>
      </w:r>
      <w:r w:rsidR="00F30BB2" w:rsidRPr="000A772D">
        <w:rPr>
          <w:u w:val="single"/>
        </w:rPr>
        <w:t>January – June 2020</w:t>
      </w:r>
      <w:r w:rsidR="00F30BB2">
        <w:t xml:space="preserve"> and </w:t>
      </w:r>
      <w:r w:rsidR="00F30BB2" w:rsidRPr="000A772D">
        <w:rPr>
          <w:u w:val="single"/>
        </w:rPr>
        <w:t>July – December 2020</w:t>
      </w:r>
      <w:r w:rsidR="00F10E0C" w:rsidRPr="00F10E0C">
        <w:t xml:space="preserve"> </w:t>
      </w:r>
      <w:r w:rsidR="00F10E0C" w:rsidRPr="00D84709">
        <w:t>(</w:t>
      </w:r>
      <w:r w:rsidR="00F10E0C">
        <w:t>for</w:t>
      </w:r>
      <w:r w:rsidR="00F10E0C" w:rsidRPr="00D84709">
        <w:t xml:space="preserve"> details please </w:t>
      </w:r>
      <w:r w:rsidR="00F10E0C">
        <w:t>refer to these Reports</w:t>
      </w:r>
      <w:r w:rsidR="00F10E0C" w:rsidRPr="00D84709">
        <w:t>)</w:t>
      </w:r>
      <w:r w:rsidR="00F10E0C">
        <w:t>.</w:t>
      </w:r>
      <w:r w:rsidR="00F30BB2">
        <w:t xml:space="preserve"> The objectives of the </w:t>
      </w:r>
      <w:r>
        <w:t>s</w:t>
      </w:r>
      <w:r w:rsidR="00F30BB2">
        <w:t xml:space="preserve">ocial safeguard monitoring </w:t>
      </w:r>
      <w:r w:rsidR="000A772D">
        <w:t xml:space="preserve">were </w:t>
      </w:r>
      <w:r w:rsidR="00F30BB2">
        <w:t>the following:</w:t>
      </w:r>
    </w:p>
    <w:p w:rsidR="00F30BB2" w:rsidRDefault="00F30BB2" w:rsidP="00F30BB2">
      <w:pPr>
        <w:pStyle w:val="aff0"/>
        <w:numPr>
          <w:ilvl w:val="0"/>
          <w:numId w:val="29"/>
        </w:numPr>
        <w:spacing w:before="0" w:beforeAutospacing="0" w:after="0" w:afterAutospacing="0"/>
        <w:ind w:left="709" w:hanging="425"/>
      </w:pPr>
      <w:r>
        <w:t>review overall progress of the project implementation;</w:t>
      </w:r>
    </w:p>
    <w:p w:rsidR="00F30BB2" w:rsidRDefault="00F30BB2" w:rsidP="00F30BB2">
      <w:pPr>
        <w:pStyle w:val="aff0"/>
        <w:numPr>
          <w:ilvl w:val="0"/>
          <w:numId w:val="29"/>
        </w:numPr>
        <w:spacing w:before="0" w:beforeAutospacing="0" w:after="0" w:afterAutospacing="0"/>
        <w:ind w:left="709" w:hanging="425"/>
      </w:pPr>
      <w:r>
        <w:t>identif</w:t>
      </w:r>
      <w:r w:rsidR="00E33CE3">
        <w:t xml:space="preserve">ication of any </w:t>
      </w:r>
      <w:r>
        <w:t>social issues and constraints that encountered in project implementation;</w:t>
      </w:r>
    </w:p>
    <w:p w:rsidR="00F30BB2" w:rsidRDefault="00F30BB2" w:rsidP="00F30BB2">
      <w:pPr>
        <w:pStyle w:val="aff0"/>
        <w:numPr>
          <w:ilvl w:val="0"/>
          <w:numId w:val="29"/>
        </w:numPr>
        <w:spacing w:before="0" w:beforeAutospacing="0" w:after="0" w:afterAutospacing="0"/>
        <w:ind w:left="709" w:hanging="425"/>
      </w:pPr>
      <w:r>
        <w:t>development of social safeguard monitoring indicators for the construction stage under the packages CW1</w:t>
      </w:r>
      <w:r w:rsidR="00EB6FCC">
        <w:t>: Sanitary Landfill Establishment and Dumpsite Closure</w:t>
      </w:r>
      <w:r>
        <w:t>;</w:t>
      </w:r>
      <w:r w:rsidR="00E33CE3">
        <w:t xml:space="preserve"> and</w:t>
      </w:r>
    </w:p>
    <w:p w:rsidR="00F30BB2" w:rsidRDefault="00F30BB2" w:rsidP="00F30BB2">
      <w:pPr>
        <w:pStyle w:val="aff0"/>
        <w:numPr>
          <w:ilvl w:val="0"/>
          <w:numId w:val="29"/>
        </w:numPr>
        <w:spacing w:before="0" w:beforeAutospacing="0" w:after="0" w:afterAutospacing="0"/>
        <w:ind w:left="709" w:hanging="425"/>
      </w:pPr>
      <w:proofErr w:type="gramStart"/>
      <w:r>
        <w:t>recommend</w:t>
      </w:r>
      <w:r w:rsidR="00E33CE3">
        <w:t>ation</w:t>
      </w:r>
      <w:proofErr w:type="gramEnd"/>
      <w:r w:rsidR="00E33CE3">
        <w:t xml:space="preserve"> of</w:t>
      </w:r>
      <w:r>
        <w:t xml:space="preserve"> mitigation measures (if requir</w:t>
      </w:r>
      <w:r w:rsidR="00E33CE3">
        <w:t>ed</w:t>
      </w:r>
      <w:r>
        <w:t>).</w:t>
      </w:r>
    </w:p>
    <w:p w:rsidR="000A772D" w:rsidRDefault="000A772D" w:rsidP="000A772D">
      <w:pPr>
        <w:pStyle w:val="aff0"/>
        <w:spacing w:before="0" w:beforeAutospacing="0" w:after="0" w:afterAutospacing="0"/>
        <w:jc w:val="both"/>
      </w:pPr>
    </w:p>
    <w:p w:rsidR="000A772D" w:rsidRPr="00653E84" w:rsidRDefault="004133FB" w:rsidP="000A772D">
      <w:pPr>
        <w:pStyle w:val="aff0"/>
        <w:spacing w:before="0" w:beforeAutospacing="0" w:after="0" w:afterAutospacing="0"/>
        <w:jc w:val="both"/>
      </w:pPr>
      <w:r>
        <w:t>Initial project document for socia</w:t>
      </w:r>
      <w:r w:rsidR="009A54FC">
        <w:t>l safeguard monitoring is Land Acquisition and R</w:t>
      </w:r>
      <w:r>
        <w:t xml:space="preserve">esettlement </w:t>
      </w:r>
      <w:r w:rsidR="009A54FC">
        <w:t>P</w:t>
      </w:r>
      <w:r>
        <w:t xml:space="preserve">lan </w:t>
      </w:r>
      <w:r w:rsidR="000A772D">
        <w:t xml:space="preserve">(LARP) </w:t>
      </w:r>
      <w:r>
        <w:t xml:space="preserve">prepared in 2012 for the new landfill construction in </w:t>
      </w:r>
      <w:proofErr w:type="spellStart"/>
      <w:r>
        <w:t>Akhangaran</w:t>
      </w:r>
      <w:proofErr w:type="spellEnd"/>
      <w:r>
        <w:t xml:space="preserve"> district of Tashkent region. </w:t>
      </w:r>
      <w:r w:rsidR="000A772D" w:rsidRPr="00653E84">
        <w:t xml:space="preserve">In compliance with the ADB’s SPS, LARP </w:t>
      </w:r>
      <w:r w:rsidR="000A772D">
        <w:t>was</w:t>
      </w:r>
      <w:r w:rsidR="000A772D" w:rsidRPr="00653E84">
        <w:t xml:space="preserve"> disclosed in 2013</w:t>
      </w:r>
      <w:r w:rsidR="000A772D">
        <w:t xml:space="preserve"> and </w:t>
      </w:r>
      <w:r w:rsidR="000A772D" w:rsidRPr="00653E84">
        <w:t xml:space="preserve">time-to-time updated. The safeguard and mitigation measure </w:t>
      </w:r>
      <w:r w:rsidR="009330EA">
        <w:t xml:space="preserve">according to LARP </w:t>
      </w:r>
      <w:r w:rsidR="000A772D" w:rsidRPr="00653E84">
        <w:t xml:space="preserve">included the following: </w:t>
      </w:r>
    </w:p>
    <w:p w:rsidR="000A772D" w:rsidRPr="00653E84" w:rsidRDefault="000A772D" w:rsidP="000A772D">
      <w:pPr>
        <w:pStyle w:val="aff0"/>
        <w:spacing w:beforeAutospacing="0" w:after="0" w:afterAutospacing="0"/>
        <w:ind w:left="426" w:hanging="284"/>
      </w:pPr>
      <w:r w:rsidRPr="00653E84">
        <w:t>(</w:t>
      </w:r>
      <w:proofErr w:type="spellStart"/>
      <w:proofErr w:type="gramStart"/>
      <w:r w:rsidRPr="00653E84">
        <w:t>i</w:t>
      </w:r>
      <w:proofErr w:type="spellEnd"/>
      <w:proofErr w:type="gramEnd"/>
      <w:r w:rsidRPr="00653E84">
        <w:t>)</w:t>
      </w:r>
      <w:r w:rsidRPr="00653E84">
        <w:rPr>
          <w:sz w:val="14"/>
          <w:szCs w:val="14"/>
        </w:rPr>
        <w:t xml:space="preserve">        </w:t>
      </w:r>
      <w:r w:rsidRPr="00653E84">
        <w:t>land for land compensation;</w:t>
      </w:r>
    </w:p>
    <w:p w:rsidR="000A772D" w:rsidRPr="00653E84" w:rsidRDefault="000A772D" w:rsidP="000A772D">
      <w:pPr>
        <w:pStyle w:val="aff0"/>
        <w:spacing w:beforeAutospacing="0" w:after="0" w:afterAutospacing="0"/>
        <w:ind w:left="426" w:hanging="284"/>
      </w:pPr>
      <w:r w:rsidRPr="00653E84">
        <w:t>(ii)</w:t>
      </w:r>
      <w:r w:rsidRPr="00653E84">
        <w:rPr>
          <w:sz w:val="14"/>
          <w:szCs w:val="14"/>
        </w:rPr>
        <w:t xml:space="preserve">       </w:t>
      </w:r>
      <w:proofErr w:type="gramStart"/>
      <w:r w:rsidRPr="00653E84">
        <w:t>compensation</w:t>
      </w:r>
      <w:proofErr w:type="gramEnd"/>
      <w:r w:rsidRPr="00653E84">
        <w:t xml:space="preserve"> for lost crops and profit;</w:t>
      </w:r>
    </w:p>
    <w:p w:rsidR="000A772D" w:rsidRPr="00653E84" w:rsidRDefault="000A772D" w:rsidP="000A772D">
      <w:pPr>
        <w:pStyle w:val="aff0"/>
        <w:spacing w:beforeAutospacing="0" w:after="0" w:afterAutospacing="0"/>
        <w:ind w:left="426" w:hanging="284"/>
      </w:pPr>
      <w:r w:rsidRPr="00653E84">
        <w:t>(iii)</w:t>
      </w:r>
      <w:r w:rsidRPr="00653E84">
        <w:rPr>
          <w:sz w:val="14"/>
          <w:szCs w:val="14"/>
        </w:rPr>
        <w:t xml:space="preserve">     </w:t>
      </w:r>
      <w:proofErr w:type="gramStart"/>
      <w:r w:rsidRPr="00653E84">
        <w:t>compensation</w:t>
      </w:r>
      <w:proofErr w:type="gramEnd"/>
      <w:r w:rsidRPr="00653E84">
        <w:t xml:space="preserve"> to 4 workers of the affected leasehold farm (Loss of Income/Livelihood of workers).</w:t>
      </w:r>
    </w:p>
    <w:p w:rsidR="006C2810" w:rsidRDefault="009A54FC" w:rsidP="004133FB">
      <w:pPr>
        <w:pStyle w:val="aff0"/>
        <w:jc w:val="both"/>
      </w:pPr>
      <w:r>
        <w:t xml:space="preserve">Since 2013 till 2020 no civil works or other project activities have been carried out on new landfill area in </w:t>
      </w:r>
      <w:proofErr w:type="spellStart"/>
      <w:r>
        <w:t>Akhan</w:t>
      </w:r>
      <w:r w:rsidR="009330EA">
        <w:t>garan</w:t>
      </w:r>
      <w:proofErr w:type="spellEnd"/>
      <w:r w:rsidR="009330EA">
        <w:t xml:space="preserve"> district, so that no </w:t>
      </w:r>
      <w:r w:rsidR="009330EA" w:rsidRPr="00653E84">
        <w:t>safeguard and mitigation measure</w:t>
      </w:r>
      <w:r w:rsidR="009330EA">
        <w:t>s were required during this period</w:t>
      </w:r>
      <w:r>
        <w:t>. In October 2019, upon request of ADB, D</w:t>
      </w:r>
      <w:r w:rsidR="004133FB">
        <w:t>ue Diligence for involuntary resettlement impacts has been</w:t>
      </w:r>
      <w:r w:rsidR="009330EA">
        <w:t xml:space="preserve"> </w:t>
      </w:r>
      <w:r w:rsidR="004133FB">
        <w:t>completed</w:t>
      </w:r>
      <w:r w:rsidR="009330EA">
        <w:t xml:space="preserve"> by PIU Consultant and </w:t>
      </w:r>
      <w:r w:rsidR="006C2810">
        <w:t xml:space="preserve">the updated </w:t>
      </w:r>
      <w:r w:rsidR="009330EA">
        <w:t>SDDR has been agreed with ADB team</w:t>
      </w:r>
      <w:r w:rsidR="004133FB">
        <w:t xml:space="preserve">. </w:t>
      </w:r>
      <w:r w:rsidR="004133FB" w:rsidRPr="004133FB">
        <w:rPr>
          <w:u w:val="single"/>
        </w:rPr>
        <w:t xml:space="preserve">Due Diligence confirmed that the project will not require land acquisition and involuntary resettlement for the construction </w:t>
      </w:r>
      <w:r w:rsidR="003F6CC3">
        <w:rPr>
          <w:u w:val="single"/>
        </w:rPr>
        <w:t xml:space="preserve">of </w:t>
      </w:r>
      <w:r w:rsidR="004133FB" w:rsidRPr="004133FB">
        <w:rPr>
          <w:u w:val="single"/>
        </w:rPr>
        <w:t>new landfill</w:t>
      </w:r>
      <w:r w:rsidR="003F6CC3">
        <w:rPr>
          <w:u w:val="single"/>
        </w:rPr>
        <w:t xml:space="preserve"> on 30 ha land </w:t>
      </w:r>
      <w:r w:rsidR="003F6CC3" w:rsidRPr="003F6CC3">
        <w:rPr>
          <w:u w:val="single"/>
        </w:rPr>
        <w:t xml:space="preserve">in </w:t>
      </w:r>
      <w:proofErr w:type="spellStart"/>
      <w:r w:rsidR="003F6CC3" w:rsidRPr="003F6CC3">
        <w:rPr>
          <w:u w:val="single"/>
        </w:rPr>
        <w:t>Akhangaran</w:t>
      </w:r>
      <w:proofErr w:type="spellEnd"/>
      <w:r w:rsidR="003F6CC3" w:rsidRPr="003F6CC3">
        <w:rPr>
          <w:u w:val="single"/>
        </w:rPr>
        <w:t xml:space="preserve"> district</w:t>
      </w:r>
      <w:r w:rsidR="004133FB">
        <w:t xml:space="preserve">. </w:t>
      </w:r>
    </w:p>
    <w:p w:rsidR="004133FB" w:rsidRDefault="006C2810" w:rsidP="004133FB">
      <w:pPr>
        <w:pStyle w:val="aff0"/>
        <w:jc w:val="both"/>
      </w:pPr>
      <w:r>
        <w:t xml:space="preserve">According to last communication on this subject, </w:t>
      </w:r>
      <w:r w:rsidR="004133FB">
        <w:t>Maxsustrans</w:t>
      </w:r>
      <w:r w:rsidR="00ED7F2C">
        <w:t xml:space="preserve"> should</w:t>
      </w:r>
      <w:r w:rsidR="004133FB" w:rsidRPr="004133FB">
        <w:t xml:space="preserve"> provide </w:t>
      </w:r>
      <w:r w:rsidR="004133FB">
        <w:t xml:space="preserve">to ADB </w:t>
      </w:r>
      <w:r w:rsidR="004133FB" w:rsidRPr="004133FB">
        <w:t xml:space="preserve">additional clarifications </w:t>
      </w:r>
      <w:r w:rsidR="004133FB" w:rsidRPr="006C2810">
        <w:t xml:space="preserve">on </w:t>
      </w:r>
      <w:r>
        <w:t>the affected farmer</w:t>
      </w:r>
      <w:r w:rsidR="004133FB" w:rsidRPr="004133FB">
        <w:t xml:space="preserve"> for re</w:t>
      </w:r>
      <w:r w:rsidR="004133FB">
        <w:t>-</w:t>
      </w:r>
      <w:r w:rsidR="004133FB" w:rsidRPr="004133FB">
        <w:t xml:space="preserve">categorization the project from </w:t>
      </w:r>
      <w:r w:rsidRPr="006C2810">
        <w:t>Involuntary Resettlement C</w:t>
      </w:r>
      <w:r>
        <w:t>ategory B to C, so that SDSS will not need to monitor this for the submission of social Safeguard Monitoring Reports.</w:t>
      </w:r>
    </w:p>
    <w:p w:rsidR="004133FB" w:rsidRDefault="004133FB" w:rsidP="004133FB">
      <w:pPr>
        <w:pStyle w:val="aff0"/>
        <w:spacing w:before="0" w:beforeAutospacing="0" w:after="0" w:afterAutospacing="0"/>
        <w:jc w:val="both"/>
      </w:pPr>
      <w:r>
        <w:t>From March until September 2020 the Government of Uzbekistan took strict relevant measures against to COVID 19 pandemic. Despite the mitigation of the quarantine adopted in August – September 2020, air flights are still locked down to prevent the spread of the new coronavirus pandemic. During this time, the social as well the economic and business life was locked down. All international experts of this and other projects left the country and have not yet returned.</w:t>
      </w:r>
    </w:p>
    <w:p w:rsidR="004E30FF" w:rsidRPr="00660EA2" w:rsidRDefault="004E30FF" w:rsidP="00660EA2">
      <w:pPr>
        <w:pStyle w:val="3"/>
      </w:pPr>
      <w:bookmarkStart w:id="20" w:name="_Hlk497312589"/>
      <w:bookmarkStart w:id="21" w:name="_Hlk527043140"/>
      <w:r w:rsidRPr="00660EA2">
        <w:lastRenderedPageBreak/>
        <w:t>Environmental Monitoring and Evaluation</w:t>
      </w:r>
      <w:bookmarkEnd w:id="20"/>
    </w:p>
    <w:p w:rsidR="004E30FF" w:rsidRDefault="004E30FF">
      <w:pPr>
        <w:spacing w:line="240" w:lineRule="auto"/>
      </w:pPr>
    </w:p>
    <w:p w:rsidR="00CB2798" w:rsidRDefault="00CB2798" w:rsidP="001B0F2B">
      <w:pPr>
        <w:spacing w:line="240" w:lineRule="auto"/>
      </w:pPr>
      <w:r w:rsidRPr="00CB2798">
        <w:t>As per the Loan and Project Agreements for the L3067-UZB: Solid Waste Management Improvement Project (SWMIP), State Unitary Enterprise “MAXSUSTRANS” and Project Implementation Unit (PIU) is bound to ensure that</w:t>
      </w:r>
      <w:r w:rsidR="00D74EC4">
        <w:t>:</w:t>
      </w:r>
      <w:r w:rsidRPr="00CB2798">
        <w:t xml:space="preserve"> </w:t>
      </w:r>
    </w:p>
    <w:p w:rsidR="00CB2798" w:rsidRDefault="00CB2798" w:rsidP="00CB2798">
      <w:pPr>
        <w:pStyle w:val="af9"/>
        <w:numPr>
          <w:ilvl w:val="0"/>
          <w:numId w:val="26"/>
        </w:numPr>
        <w:spacing w:line="240" w:lineRule="auto"/>
      </w:pPr>
      <w:r w:rsidRPr="00CB2798">
        <w:t xml:space="preserve">the project is constructed and operated in accordance with the national and local environmental regulations and guidelines, ADB's Environment Policy (2002) and the Initial Environmental Examination (IEE) report; </w:t>
      </w:r>
    </w:p>
    <w:p w:rsidR="00CB2798" w:rsidRDefault="00CB2798" w:rsidP="00CB2798">
      <w:pPr>
        <w:pStyle w:val="af9"/>
        <w:numPr>
          <w:ilvl w:val="0"/>
          <w:numId w:val="26"/>
        </w:numPr>
        <w:spacing w:line="240" w:lineRule="auto"/>
      </w:pPr>
      <w:r w:rsidRPr="00CB2798">
        <w:t>any adverse environmental impacts arising from the construction and operation of the project facilities are minimized by implementing the mitigation measu</w:t>
      </w:r>
      <w:r>
        <w:t>res</w:t>
      </w:r>
      <w:r w:rsidRPr="00CB2798">
        <w:t xml:space="preserve">; and </w:t>
      </w:r>
    </w:p>
    <w:p w:rsidR="00CB2798" w:rsidRDefault="00CB2798" w:rsidP="00CB2798">
      <w:pPr>
        <w:pStyle w:val="af9"/>
        <w:numPr>
          <w:ilvl w:val="0"/>
          <w:numId w:val="26"/>
        </w:numPr>
        <w:spacing w:line="240" w:lineRule="auto"/>
      </w:pPr>
      <w:proofErr w:type="gramStart"/>
      <w:r w:rsidRPr="00CB2798">
        <w:t>implementation</w:t>
      </w:r>
      <w:proofErr w:type="gramEnd"/>
      <w:r w:rsidRPr="00CB2798">
        <w:t xml:space="preserve"> of the Environmental Management Plan (EMP) and violations of safety or environmental standards, if any, be regularly reported to ADB.</w:t>
      </w:r>
    </w:p>
    <w:p w:rsidR="003E5B56" w:rsidRDefault="003E5B56" w:rsidP="001B0F2B">
      <w:pPr>
        <w:spacing w:line="240" w:lineRule="auto"/>
      </w:pPr>
    </w:p>
    <w:p w:rsidR="00CB2798" w:rsidRDefault="003E5B56" w:rsidP="00A474AD">
      <w:pPr>
        <w:spacing w:line="240" w:lineRule="auto"/>
      </w:pPr>
      <w:proofErr w:type="gramStart"/>
      <w:r>
        <w:t xml:space="preserve">In </w:t>
      </w:r>
      <w:r w:rsidR="006A4D0B">
        <w:t>2020</w:t>
      </w:r>
      <w:r w:rsidR="004E30FF" w:rsidRPr="00D84709">
        <w:t xml:space="preserve"> the Consultant has </w:t>
      </w:r>
      <w:r w:rsidR="00840F12" w:rsidRPr="00D84709">
        <w:t xml:space="preserve">prepared </w:t>
      </w:r>
      <w:r w:rsidR="004E30FF" w:rsidRPr="00D84709">
        <w:t xml:space="preserve">and submitted to </w:t>
      </w:r>
      <w:r w:rsidR="00F10E0C">
        <w:t xml:space="preserve">PIU and </w:t>
      </w:r>
      <w:r w:rsidR="004E30FF" w:rsidRPr="00D84709">
        <w:t>the Client</w:t>
      </w:r>
      <w:r w:rsidR="0048294D">
        <w:t xml:space="preserve"> </w:t>
      </w:r>
      <w:r w:rsidR="00F10E0C">
        <w:t>two s</w:t>
      </w:r>
      <w:r w:rsidR="00840F12" w:rsidRPr="00D84709">
        <w:t>emi</w:t>
      </w:r>
      <w:r w:rsidR="004E30FF" w:rsidRPr="00D84709">
        <w:t>-annual Environmental Monitoring Report</w:t>
      </w:r>
      <w:r w:rsidR="0048294D">
        <w:t>s</w:t>
      </w:r>
      <w:r w:rsidR="004E30FF" w:rsidRPr="00D84709">
        <w:t xml:space="preserve"> for the period </w:t>
      </w:r>
      <w:r w:rsidR="0048294D" w:rsidRPr="00F10E0C">
        <w:rPr>
          <w:u w:val="single"/>
        </w:rPr>
        <w:t xml:space="preserve">January – June </w:t>
      </w:r>
      <w:r w:rsidR="004E30FF" w:rsidRPr="00F10E0C">
        <w:rPr>
          <w:u w:val="single"/>
        </w:rPr>
        <w:t>20</w:t>
      </w:r>
      <w:r w:rsidR="0048294D" w:rsidRPr="00F10E0C">
        <w:rPr>
          <w:u w:val="single"/>
        </w:rPr>
        <w:t>20</w:t>
      </w:r>
      <w:r w:rsidR="0048294D">
        <w:t xml:space="preserve"> and </w:t>
      </w:r>
      <w:r w:rsidR="0048294D" w:rsidRPr="00F10E0C">
        <w:rPr>
          <w:u w:val="single"/>
        </w:rPr>
        <w:t>July – December 2020</w:t>
      </w:r>
      <w:r w:rsidR="00840F12" w:rsidRPr="00D84709">
        <w:t xml:space="preserve"> (</w:t>
      </w:r>
      <w:r w:rsidR="0048294D">
        <w:t>for</w:t>
      </w:r>
      <w:r w:rsidR="00840F12" w:rsidRPr="00D84709">
        <w:t xml:space="preserve"> details please </w:t>
      </w:r>
      <w:r w:rsidR="0048294D">
        <w:t>refer to these Reports</w:t>
      </w:r>
      <w:r w:rsidR="00840F12" w:rsidRPr="00D84709">
        <w:t>)</w:t>
      </w:r>
      <w:r w:rsidR="001B0F2B">
        <w:t>.</w:t>
      </w:r>
      <w:proofErr w:type="gramEnd"/>
      <w:r w:rsidR="001B0F2B">
        <w:t xml:space="preserve"> </w:t>
      </w:r>
      <w:r w:rsidR="00CB2798">
        <w:t>Th</w:t>
      </w:r>
      <w:r w:rsidR="00145208">
        <w:t>e</w:t>
      </w:r>
      <w:r w:rsidR="00620DAA">
        <w:t>se EM reports described</w:t>
      </w:r>
      <w:r w:rsidR="00CB2798">
        <w:t xml:space="preserve"> implementation of the environmental monitoring and mitigation measures recommended in the IEE </w:t>
      </w:r>
      <w:proofErr w:type="gramStart"/>
      <w:r w:rsidR="00CB2798">
        <w:t>reports,</w:t>
      </w:r>
      <w:proofErr w:type="gramEnd"/>
      <w:r w:rsidR="00CB2798">
        <w:t xml:space="preserve"> </w:t>
      </w:r>
      <w:r w:rsidR="00620DAA">
        <w:t xml:space="preserve">included an </w:t>
      </w:r>
      <w:r w:rsidR="00CB2798">
        <w:t>analy</w:t>
      </w:r>
      <w:r w:rsidR="00620DAA">
        <w:t>sis of</w:t>
      </w:r>
      <w:r w:rsidR="00CB2798">
        <w:t xml:space="preserve"> environmental data collected from the related sub-projects during 2020, and provide</w:t>
      </w:r>
      <w:r w:rsidR="00620DAA">
        <w:t>d</w:t>
      </w:r>
      <w:r w:rsidR="00CB2798">
        <w:t xml:space="preserve"> recommendations for the resolution of identified issues.</w:t>
      </w:r>
    </w:p>
    <w:p w:rsidR="00CB2798" w:rsidRDefault="00CB2798" w:rsidP="00A474AD">
      <w:pPr>
        <w:spacing w:line="240" w:lineRule="auto"/>
      </w:pPr>
    </w:p>
    <w:p w:rsidR="00CB2798" w:rsidRDefault="00CB2798" w:rsidP="00A474AD">
      <w:pPr>
        <w:spacing w:line="240" w:lineRule="auto"/>
      </w:pPr>
      <w:r>
        <w:t>To be more specific, th</w:t>
      </w:r>
      <w:r w:rsidR="00145208">
        <w:t>e</w:t>
      </w:r>
      <w:r>
        <w:t xml:space="preserve"> </w:t>
      </w:r>
      <w:r w:rsidR="00620DAA">
        <w:t>EM</w:t>
      </w:r>
      <w:r w:rsidR="003B32E3">
        <w:t xml:space="preserve"> reports </w:t>
      </w:r>
      <w:r>
        <w:t>cover</w:t>
      </w:r>
      <w:r w:rsidR="00620DAA">
        <w:t>ed</w:t>
      </w:r>
      <w:r>
        <w:t xml:space="preserve"> the following areas: (</w:t>
      </w:r>
      <w:proofErr w:type="spellStart"/>
      <w:r>
        <w:t>i</w:t>
      </w:r>
      <w:proofErr w:type="spellEnd"/>
      <w:r>
        <w:t>) documentation review and compliance assessment with the applicable environmental regulations, (ii) environmental management institutional structure and responsibilities, (iii) mitigation measures undertaken to minimize adverse environmental impacts arising from the construction, (iv) environmental monitoring results and analyses, and (v) conclusions and recommendations.</w:t>
      </w:r>
    </w:p>
    <w:p w:rsidR="00CB2798" w:rsidRDefault="00CB2798" w:rsidP="00A474AD">
      <w:pPr>
        <w:spacing w:line="240" w:lineRule="auto"/>
      </w:pPr>
    </w:p>
    <w:p w:rsidR="00CB2798" w:rsidRDefault="00CB2798" w:rsidP="00A474AD">
      <w:pPr>
        <w:spacing w:line="240" w:lineRule="auto"/>
      </w:pPr>
      <w:r>
        <w:t>Uzbekistan took tough measures against COVID-19 and has taken all necessary preventive measures to prevent the spread of coronavirus infection since March 2020. In particular, all transport communication has been limited. Tashkent went into quarantine mode, and most organizations and institutions were transferred to remote work. Thus, during the reporting period there w</w:t>
      </w:r>
      <w:r w:rsidR="001E658A">
        <w:t>as</w:t>
      </w:r>
      <w:r>
        <w:t xml:space="preserve"> no </w:t>
      </w:r>
      <w:r w:rsidR="001E658A">
        <w:t xml:space="preserve">significant </w:t>
      </w:r>
      <w:r>
        <w:t>progress or any changes in the project implementation</w:t>
      </w:r>
      <w:r w:rsidR="001E658A">
        <w:t>, especially with civil works packages</w:t>
      </w:r>
      <w:r>
        <w:t xml:space="preserve">. </w:t>
      </w:r>
    </w:p>
    <w:p w:rsidR="00CB2798" w:rsidRDefault="00CB2798" w:rsidP="00A474AD">
      <w:pPr>
        <w:spacing w:line="240" w:lineRule="auto"/>
      </w:pPr>
    </w:p>
    <w:p w:rsidR="00CB2798" w:rsidRDefault="00CB2798" w:rsidP="00A474AD">
      <w:pPr>
        <w:spacing w:line="240" w:lineRule="auto"/>
      </w:pPr>
      <w:r>
        <w:t>The project includes a dynamic Sanitary Landfill Facility (SLF) development concept approach. This utilizes the planned SLF as an immediate and effective solution for Tashkent’s waste disposal challenges, with the potential to progressively expand the facility to become a disposal solution that can serve the Tashkent region over the long term. In comparison to the last submitted report here are no changes which ha</w:t>
      </w:r>
      <w:r w:rsidR="001E658A">
        <w:t>ve</w:t>
      </w:r>
      <w:r>
        <w:t xml:space="preserve"> currently influent of the further developing of the SWMIP Project during the last </w:t>
      </w:r>
      <w:r w:rsidR="001E658A">
        <w:t xml:space="preserve">reporting </w:t>
      </w:r>
      <w:r>
        <w:t>time.</w:t>
      </w:r>
    </w:p>
    <w:p w:rsidR="00CB2798" w:rsidRDefault="00CB2798" w:rsidP="00A474AD">
      <w:pPr>
        <w:spacing w:line="240" w:lineRule="auto"/>
      </w:pPr>
    </w:p>
    <w:p w:rsidR="00CB2798" w:rsidRDefault="00CB2798" w:rsidP="00A474AD">
      <w:pPr>
        <w:spacing w:line="240" w:lineRule="auto"/>
      </w:pPr>
      <w:r>
        <w:t xml:space="preserve">In addition, the </w:t>
      </w:r>
      <w:r w:rsidR="001E658A">
        <w:t xml:space="preserve">SWMIP project </w:t>
      </w:r>
      <w:r w:rsidR="003B32E3">
        <w:t xml:space="preserve">has </w:t>
      </w:r>
      <w:r w:rsidR="001E658A">
        <w:t>financed or will finance</w:t>
      </w:r>
      <w:r>
        <w:t>:</w:t>
      </w:r>
      <w:r w:rsidR="001E658A">
        <w:t xml:space="preserve"> </w:t>
      </w:r>
    </w:p>
    <w:p w:rsidR="00CB2798" w:rsidRDefault="00CB2798" w:rsidP="00A474AD">
      <w:pPr>
        <w:pStyle w:val="af9"/>
        <w:numPr>
          <w:ilvl w:val="0"/>
          <w:numId w:val="27"/>
        </w:numPr>
        <w:spacing w:line="240" w:lineRule="auto"/>
      </w:pPr>
      <w:r>
        <w:t>procurement of garbage trucks for collection and transportation household solid waste;</w:t>
      </w:r>
    </w:p>
    <w:p w:rsidR="00CB2798" w:rsidRDefault="00CB2798" w:rsidP="00A474AD">
      <w:pPr>
        <w:pStyle w:val="af9"/>
        <w:numPr>
          <w:ilvl w:val="0"/>
          <w:numId w:val="27"/>
        </w:numPr>
        <w:spacing w:line="240" w:lineRule="auto"/>
      </w:pPr>
      <w:r>
        <w:t>procurement of equipment and machinery for the sanitary landfill;</w:t>
      </w:r>
    </w:p>
    <w:p w:rsidR="00CB2798" w:rsidRDefault="00CB2798" w:rsidP="00A474AD">
      <w:pPr>
        <w:pStyle w:val="af9"/>
        <w:numPr>
          <w:ilvl w:val="0"/>
          <w:numId w:val="27"/>
        </w:numPr>
        <w:spacing w:line="240" w:lineRule="auto"/>
      </w:pPr>
      <w:r>
        <w:t>procurement of waste bins for waste collection points and containers for transportation of solid waste;</w:t>
      </w:r>
    </w:p>
    <w:p w:rsidR="00CB2798" w:rsidRDefault="00CB2798" w:rsidP="00A474AD">
      <w:pPr>
        <w:pStyle w:val="af9"/>
        <w:numPr>
          <w:ilvl w:val="0"/>
          <w:numId w:val="27"/>
        </w:numPr>
        <w:spacing w:line="240" w:lineRule="auto"/>
      </w:pPr>
      <w:r>
        <w:t>revamping of two transfer stations in the city of Tashkent;</w:t>
      </w:r>
    </w:p>
    <w:p w:rsidR="00CB2798" w:rsidRDefault="00CB2798" w:rsidP="00A474AD">
      <w:pPr>
        <w:pStyle w:val="af9"/>
        <w:numPr>
          <w:ilvl w:val="0"/>
          <w:numId w:val="27"/>
        </w:numPr>
        <w:spacing w:line="240" w:lineRule="auto"/>
      </w:pPr>
      <w:proofErr w:type="gramStart"/>
      <w:r>
        <w:t>reconstructio</w:t>
      </w:r>
      <w:r w:rsidR="001E658A">
        <w:t>n</w:t>
      </w:r>
      <w:proofErr w:type="gramEnd"/>
      <w:r w:rsidR="001E658A">
        <w:t xml:space="preserve"> of two garages of </w:t>
      </w:r>
      <w:proofErr w:type="spellStart"/>
      <w:r w:rsidR="001E658A">
        <w:t>Maxsustrans</w:t>
      </w:r>
      <w:proofErr w:type="spellEnd"/>
      <w:r w:rsidR="001E658A">
        <w:t xml:space="preserve"> (located in </w:t>
      </w:r>
      <w:proofErr w:type="spellStart"/>
      <w:r w:rsidR="001E658A">
        <w:t>Mirabad</w:t>
      </w:r>
      <w:proofErr w:type="spellEnd"/>
      <w:r w:rsidR="001E658A">
        <w:t xml:space="preserve"> and </w:t>
      </w:r>
      <w:proofErr w:type="spellStart"/>
      <w:r w:rsidR="001E658A">
        <w:t>Bektemir</w:t>
      </w:r>
      <w:proofErr w:type="spellEnd"/>
      <w:r w:rsidR="001E658A">
        <w:t xml:space="preserve"> districts).</w:t>
      </w:r>
    </w:p>
    <w:p w:rsidR="001E658A" w:rsidRDefault="001E658A" w:rsidP="00A474AD">
      <w:pPr>
        <w:pStyle w:val="af9"/>
        <w:spacing w:line="240" w:lineRule="auto"/>
        <w:ind w:left="720"/>
      </w:pPr>
    </w:p>
    <w:p w:rsidR="0048294D" w:rsidRDefault="001E658A" w:rsidP="00A474AD">
      <w:pPr>
        <w:spacing w:line="240" w:lineRule="auto"/>
      </w:pPr>
      <w:r>
        <w:t>Waste c</w:t>
      </w:r>
      <w:r w:rsidR="00CB2798">
        <w:t xml:space="preserve">ollection points </w:t>
      </w:r>
      <w:r>
        <w:t xml:space="preserve">in the city area </w:t>
      </w:r>
      <w:r w:rsidR="00CB2798">
        <w:t xml:space="preserve">are equipped with functional and suitably sized waste bins, with provision for recyclable materials to be segregated and collected. </w:t>
      </w:r>
      <w:proofErr w:type="gramStart"/>
      <w:r w:rsidR="00CB2798">
        <w:t xml:space="preserve">Outdated collection vehicle fleets </w:t>
      </w:r>
      <w:r>
        <w:t>was</w:t>
      </w:r>
      <w:proofErr w:type="gramEnd"/>
      <w:r>
        <w:t xml:space="preserve"> r</w:t>
      </w:r>
      <w:r w:rsidR="00CB2798">
        <w:t xml:space="preserve">eplaced with appropriately sized and highly efficient collection vehicles, dramatically reducing operation and maintenance costs. Transfer stations will be equipped with improved </w:t>
      </w:r>
      <w:r>
        <w:t xml:space="preserve">press, </w:t>
      </w:r>
      <w:r w:rsidR="00CB2798">
        <w:t xml:space="preserve">infrastructure and electromechanical components, and the transfer trucks to the landfill </w:t>
      </w:r>
      <w:r w:rsidR="00F075D2">
        <w:t xml:space="preserve">have been </w:t>
      </w:r>
      <w:r w:rsidR="00CB2798">
        <w:t>replaced by new. With these activities an improvement of the environmental impact should be also expected.</w:t>
      </w:r>
    </w:p>
    <w:p w:rsidR="00A474AD" w:rsidRDefault="00A474AD" w:rsidP="00A474AD">
      <w:pPr>
        <w:spacing w:line="240" w:lineRule="auto"/>
      </w:pPr>
    </w:p>
    <w:p w:rsidR="004E30FF" w:rsidRPr="00833432" w:rsidRDefault="004E30FF">
      <w:pPr>
        <w:pStyle w:val="2"/>
        <w:numPr>
          <w:ilvl w:val="1"/>
          <w:numId w:val="5"/>
        </w:numPr>
        <w:spacing w:before="0"/>
      </w:pPr>
      <w:bookmarkStart w:id="22" w:name="_Toc64301505"/>
      <w:bookmarkEnd w:id="21"/>
      <w:r w:rsidRPr="00833432">
        <w:lastRenderedPageBreak/>
        <w:t>Media and Public Relations (TOR Task F)</w:t>
      </w:r>
      <w:bookmarkEnd w:id="22"/>
    </w:p>
    <w:p w:rsidR="004E30FF" w:rsidRPr="00833432" w:rsidRDefault="004E30FF">
      <w:pPr>
        <w:spacing w:line="240" w:lineRule="auto"/>
      </w:pPr>
    </w:p>
    <w:p w:rsidR="00364400" w:rsidRDefault="00364400">
      <w:pPr>
        <w:spacing w:line="240" w:lineRule="auto"/>
      </w:pPr>
      <w:r w:rsidRPr="00364400">
        <w:t xml:space="preserve">The Consultant </w:t>
      </w:r>
      <w:r>
        <w:t xml:space="preserve">shall </w:t>
      </w:r>
      <w:r w:rsidRPr="00364400">
        <w:t>assist PIU in the awareness of the environment and social risks that may potential impacted by the project development activities. The Consultant</w:t>
      </w:r>
      <w:r>
        <w:t xml:space="preserve"> shall </w:t>
      </w:r>
      <w:r w:rsidR="00554C91">
        <w:t>guide the PIU to carry out m</w:t>
      </w:r>
      <w:r w:rsidRPr="00364400">
        <w:t>edia an</w:t>
      </w:r>
      <w:r w:rsidR="00554C91">
        <w:t xml:space="preserve">d public relations activities; </w:t>
      </w:r>
      <w:r w:rsidRPr="00364400">
        <w:t>public consultations w</w:t>
      </w:r>
      <w:r>
        <w:t xml:space="preserve">ith potential affected people, </w:t>
      </w:r>
      <w:r w:rsidRPr="00364400">
        <w:t>detailed measurement surveys of lands identified for development, recommend appropriate actions that can be taken.</w:t>
      </w:r>
      <w:r>
        <w:t xml:space="preserve"> </w:t>
      </w:r>
    </w:p>
    <w:p w:rsidR="00364400" w:rsidRDefault="00364400">
      <w:pPr>
        <w:spacing w:line="240" w:lineRule="auto"/>
      </w:pPr>
    </w:p>
    <w:p w:rsidR="00735181" w:rsidRDefault="00735181" w:rsidP="00735181">
      <w:pPr>
        <w:spacing w:line="240" w:lineRule="auto"/>
      </w:pPr>
      <w:r w:rsidRPr="00833432">
        <w:t xml:space="preserve">Within the reporting period, </w:t>
      </w:r>
      <w:r>
        <w:t xml:space="preserve">due to pandemic situation in Uzbekistan caused by COVID-19 no </w:t>
      </w:r>
      <w:bookmarkStart w:id="23" w:name="_Hlk511057280"/>
      <w:r w:rsidRPr="00833432">
        <w:t xml:space="preserve">public </w:t>
      </w:r>
      <w:r w:rsidR="002F1C80">
        <w:t xml:space="preserve">relations activities and public </w:t>
      </w:r>
      <w:r w:rsidRPr="00833432">
        <w:t xml:space="preserve">consultations </w:t>
      </w:r>
      <w:r>
        <w:t xml:space="preserve">was held </w:t>
      </w:r>
      <w:r w:rsidRPr="00833432">
        <w:t>with</w:t>
      </w:r>
      <w:r w:rsidR="002F1C80">
        <w:t xml:space="preserve"> potential affected persons like</w:t>
      </w:r>
      <w:r w:rsidRPr="00833432">
        <w:t xml:space="preserve"> farmer</w:t>
      </w:r>
      <w:bookmarkEnd w:id="23"/>
      <w:r w:rsidR="002F1C80">
        <w:t xml:space="preserve"> or </w:t>
      </w:r>
      <w:r w:rsidRPr="00833432">
        <w:t xml:space="preserve">local </w:t>
      </w:r>
      <w:r>
        <w:t xml:space="preserve">residents </w:t>
      </w:r>
      <w:r w:rsidRPr="00833432">
        <w:t xml:space="preserve">inhabited in vicinity of the new landfill area </w:t>
      </w:r>
      <w:r>
        <w:t xml:space="preserve">in </w:t>
      </w:r>
      <w:proofErr w:type="spellStart"/>
      <w:r>
        <w:t>Akhangaran</w:t>
      </w:r>
      <w:proofErr w:type="spellEnd"/>
      <w:r>
        <w:t xml:space="preserve"> district of Tashkent region</w:t>
      </w:r>
      <w:r w:rsidR="002F1C80">
        <w:t xml:space="preserve">. As reported in paragraph 3.5.1 above, the latest Social </w:t>
      </w:r>
      <w:r w:rsidR="002F1C80" w:rsidRPr="002F1C80">
        <w:t xml:space="preserve">Due Diligence confirmed that the project will not require land acquisition and involuntary resettlement for the construction of new landfill in </w:t>
      </w:r>
      <w:proofErr w:type="spellStart"/>
      <w:r w:rsidR="002F1C80" w:rsidRPr="002F1C80">
        <w:t>Akhangaran</w:t>
      </w:r>
      <w:proofErr w:type="spellEnd"/>
      <w:r w:rsidR="002F1C80" w:rsidRPr="002F1C80">
        <w:t xml:space="preserve"> district.</w:t>
      </w:r>
      <w:r w:rsidR="002F1C80">
        <w:t xml:space="preserve"> There are no p</w:t>
      </w:r>
      <w:r w:rsidRPr="00833432">
        <w:t>otential environmental and social risks and property i</w:t>
      </w:r>
      <w:r>
        <w:t xml:space="preserve">ssues expected at the start of civil works </w:t>
      </w:r>
      <w:r w:rsidRPr="00833432">
        <w:t>for establishment of new landfill</w:t>
      </w:r>
      <w:r>
        <w:t xml:space="preserve">. </w:t>
      </w:r>
    </w:p>
    <w:p w:rsidR="00A51993" w:rsidRDefault="00A51993" w:rsidP="00735181">
      <w:pPr>
        <w:spacing w:line="240" w:lineRule="auto"/>
      </w:pPr>
    </w:p>
    <w:p w:rsidR="00A51993" w:rsidRDefault="00A51993" w:rsidP="00735181">
      <w:pPr>
        <w:spacing w:line="240" w:lineRule="auto"/>
      </w:pPr>
      <w:r>
        <w:t xml:space="preserve">The public consultations and PR activities with local residents and communities may be needed </w:t>
      </w:r>
      <w:r w:rsidR="007C5E15">
        <w:t xml:space="preserve">before or </w:t>
      </w:r>
      <w:r>
        <w:t xml:space="preserve">during civil works for rehabilitation of Transfer Stations located in </w:t>
      </w:r>
      <w:proofErr w:type="spellStart"/>
      <w:r>
        <w:t>Yunusabad</w:t>
      </w:r>
      <w:proofErr w:type="spellEnd"/>
      <w:r>
        <w:t xml:space="preserve"> and </w:t>
      </w:r>
      <w:proofErr w:type="spellStart"/>
      <w:r>
        <w:t>Yakkasaray</w:t>
      </w:r>
      <w:proofErr w:type="spellEnd"/>
      <w:r>
        <w:t xml:space="preserve"> districts. In </w:t>
      </w:r>
      <w:proofErr w:type="spellStart"/>
      <w:r>
        <w:t>Yunusabad</w:t>
      </w:r>
      <w:proofErr w:type="spellEnd"/>
      <w:r>
        <w:t xml:space="preserve"> district th</w:t>
      </w:r>
      <w:r w:rsidR="007631F2">
        <w:t>e transfer station</w:t>
      </w:r>
      <w:r>
        <w:t xml:space="preserve"> is located</w:t>
      </w:r>
      <w:r w:rsidR="007631F2">
        <w:t xml:space="preserve"> too close to residential area. The fact is that, within the last years the local authority has allocated the land for individual house construction without keeping the minimal safe distance as specified in the local construction norms. </w:t>
      </w:r>
      <w:r w:rsidR="006E743E">
        <w:t xml:space="preserve">Now, the individual houses are located </w:t>
      </w:r>
      <w:r>
        <w:t xml:space="preserve">very close to </w:t>
      </w:r>
      <w:r w:rsidR="006E743E">
        <w:t xml:space="preserve">transfer station and </w:t>
      </w:r>
      <w:r w:rsidR="001F5ACC">
        <w:t xml:space="preserve">time to time </w:t>
      </w:r>
      <w:r w:rsidR="00EC026D">
        <w:t xml:space="preserve">complaining to local authorities about </w:t>
      </w:r>
      <w:r w:rsidR="007C5E15">
        <w:t xml:space="preserve">smell and dust issues. </w:t>
      </w:r>
      <w:r w:rsidR="007500B4">
        <w:t xml:space="preserve">The same situation with </w:t>
      </w:r>
      <w:proofErr w:type="spellStart"/>
      <w:r w:rsidR="007500B4">
        <w:t>Yakkasaray</w:t>
      </w:r>
      <w:proofErr w:type="spellEnd"/>
      <w:r w:rsidR="007500B4">
        <w:t xml:space="preserve"> TS, in vicinity of this station </w:t>
      </w:r>
      <w:r w:rsidR="00C75875">
        <w:t>t</w:t>
      </w:r>
      <w:r w:rsidR="002A31EE">
        <w:t xml:space="preserve">here are railway station, </w:t>
      </w:r>
      <w:r w:rsidR="00C75875">
        <w:t xml:space="preserve">educational and other </w:t>
      </w:r>
      <w:r w:rsidR="002A31EE">
        <w:t xml:space="preserve">public use </w:t>
      </w:r>
      <w:r w:rsidR="00C75875">
        <w:t xml:space="preserve">buildings, which </w:t>
      </w:r>
      <w:r w:rsidR="002A31EE">
        <w:t xml:space="preserve">management </w:t>
      </w:r>
      <w:r w:rsidR="00C75875">
        <w:t xml:space="preserve">requesting to mitigate the negative impacts of TS operations in future. </w:t>
      </w:r>
    </w:p>
    <w:p w:rsidR="00C75875" w:rsidRDefault="00C75875" w:rsidP="00735181">
      <w:pPr>
        <w:spacing w:line="240" w:lineRule="auto"/>
      </w:pPr>
    </w:p>
    <w:p w:rsidR="00A51993" w:rsidRDefault="00C75875" w:rsidP="00735181">
      <w:pPr>
        <w:spacing w:line="240" w:lineRule="auto"/>
      </w:pPr>
      <w:r>
        <w:t xml:space="preserve">The </w:t>
      </w:r>
      <w:r w:rsidR="0023322E">
        <w:t>cur</w:t>
      </w:r>
      <w:r w:rsidR="008E03CB">
        <w:t>rent smell and dust issues within the last years are caused by warn-out components of TS station, which will be replaced or modernized during the TS rehabilitation under the Project. These activities and plans of Maxsustrans shall be explained to local population or communities affected by the project development a</w:t>
      </w:r>
      <w:r w:rsidR="00E35E62">
        <w:t>ctivities during the next reporting period. TS rehabilitation works are scheduled to be commenced within the 1. Quarter 2021, in case of contract award under the works package CW2 – Transfer Station Rehab</w:t>
      </w:r>
      <w:r w:rsidR="004A6DDB">
        <w:t>ilitation.</w:t>
      </w:r>
    </w:p>
    <w:p w:rsidR="00735181" w:rsidRDefault="00735181">
      <w:pPr>
        <w:spacing w:line="240" w:lineRule="auto"/>
      </w:pPr>
    </w:p>
    <w:p w:rsidR="004E30FF" w:rsidRPr="00833432" w:rsidRDefault="001A2196">
      <w:pPr>
        <w:spacing w:line="240" w:lineRule="auto"/>
      </w:pPr>
      <w:r>
        <w:t>During 2020</w:t>
      </w:r>
      <w:r w:rsidR="00735181">
        <w:t>, t</w:t>
      </w:r>
      <w:r w:rsidR="00364400">
        <w:t>he</w:t>
      </w:r>
      <w:r w:rsidR="004E30FF" w:rsidRPr="00833432">
        <w:t xml:space="preserve"> Consultant assisted to update the web site of SUE “Maxsustrans”, in order to post regularly the project</w:t>
      </w:r>
      <w:r w:rsidR="0025196E">
        <w:t xml:space="preserve"> key</w:t>
      </w:r>
      <w:r w:rsidR="004E30FF" w:rsidRPr="00833432">
        <w:t xml:space="preserve"> activities and </w:t>
      </w:r>
      <w:r w:rsidR="003679E3">
        <w:t xml:space="preserve">procurement </w:t>
      </w:r>
      <w:r w:rsidR="004E30FF" w:rsidRPr="00833432">
        <w:t>progress as well as to create a Project Grievance Mechanism for public and potential affected people through web site of the Implementing Agency. Since March 15, 2018 all relevant documents related to project are available on website of SUE “Maxsustrans”</w:t>
      </w:r>
      <w:r w:rsidR="0025196E">
        <w:t xml:space="preserve"> and updated on the regularly basis</w:t>
      </w:r>
      <w:r w:rsidR="004E30FF" w:rsidRPr="00833432">
        <w:t xml:space="preserve">. </w:t>
      </w:r>
    </w:p>
    <w:p w:rsidR="0025196E" w:rsidRDefault="0025196E">
      <w:pPr>
        <w:spacing w:line="240" w:lineRule="auto"/>
      </w:pPr>
    </w:p>
    <w:p w:rsidR="0025196E" w:rsidRDefault="00F036E3">
      <w:pPr>
        <w:spacing w:line="240" w:lineRule="auto"/>
      </w:pPr>
      <w:r>
        <w:t>T</w:t>
      </w:r>
      <w:r w:rsidR="0025196E">
        <w:t xml:space="preserve">he civil works under </w:t>
      </w:r>
      <w:r>
        <w:t xml:space="preserve">the </w:t>
      </w:r>
      <w:r w:rsidR="0025196E">
        <w:t xml:space="preserve">package CW4 – Garage Rehabilitation started </w:t>
      </w:r>
      <w:r w:rsidR="00381E11">
        <w:t xml:space="preserve">on 16 December 2020. These are rehabilitation </w:t>
      </w:r>
      <w:r>
        <w:t>of</w:t>
      </w:r>
      <w:r w:rsidR="00381E11">
        <w:t xml:space="preserve"> the existing garages of </w:t>
      </w:r>
      <w:proofErr w:type="spellStart"/>
      <w:r w:rsidR="00381E11">
        <w:t>Maxsustrans</w:t>
      </w:r>
      <w:proofErr w:type="spellEnd"/>
      <w:r w:rsidR="00381E11">
        <w:t xml:space="preserve"> located in </w:t>
      </w:r>
      <w:proofErr w:type="spellStart"/>
      <w:r w:rsidR="00964BA4">
        <w:t>Mirabad</w:t>
      </w:r>
      <w:proofErr w:type="spellEnd"/>
      <w:r w:rsidR="00964BA4">
        <w:t xml:space="preserve"> and </w:t>
      </w:r>
      <w:proofErr w:type="spellStart"/>
      <w:r w:rsidR="00964BA4">
        <w:t>Bektemir</w:t>
      </w:r>
      <w:proofErr w:type="spellEnd"/>
      <w:r w:rsidR="00964BA4">
        <w:t xml:space="preserve"> districts of Tashkent city. All civil works under </w:t>
      </w:r>
      <w:r>
        <w:t xml:space="preserve">the </w:t>
      </w:r>
      <w:r w:rsidR="00964BA4">
        <w:t xml:space="preserve">contract are </w:t>
      </w:r>
      <w:r>
        <w:t>implemented o</w:t>
      </w:r>
      <w:r w:rsidR="00964BA4">
        <w:t>n existing area of garage facilities and there are no potential affected people, environmental and social risks to be monitored.</w:t>
      </w:r>
    </w:p>
    <w:p w:rsidR="00964BA4" w:rsidRDefault="00964BA4">
      <w:pPr>
        <w:spacing w:line="240" w:lineRule="auto"/>
      </w:pPr>
      <w:bookmarkStart w:id="24" w:name="_Hlk517435517"/>
      <w:bookmarkEnd w:id="24"/>
    </w:p>
    <w:p w:rsidR="004E30FF" w:rsidRDefault="004E30FF">
      <w:pPr>
        <w:spacing w:line="240" w:lineRule="auto"/>
      </w:pPr>
    </w:p>
    <w:p w:rsidR="004E30FF" w:rsidRDefault="004E30FF">
      <w:pPr>
        <w:pStyle w:val="2"/>
        <w:numPr>
          <w:ilvl w:val="1"/>
          <w:numId w:val="5"/>
        </w:numPr>
        <w:spacing w:before="0"/>
      </w:pPr>
      <w:bookmarkStart w:id="25" w:name="_Toc64301506"/>
      <w:r>
        <w:t>Other activities and tasks performed by the Consultant</w:t>
      </w:r>
      <w:bookmarkEnd w:id="25"/>
    </w:p>
    <w:p w:rsidR="004E30FF" w:rsidRDefault="004E30FF">
      <w:pPr>
        <w:pStyle w:val="NoSpacing1"/>
        <w:rPr>
          <w:lang w:val="en-US"/>
        </w:rPr>
      </w:pPr>
    </w:p>
    <w:p w:rsidR="00833432" w:rsidRDefault="00833432" w:rsidP="00833432">
      <w:pPr>
        <w:spacing w:line="240" w:lineRule="auto"/>
      </w:pPr>
      <w:r>
        <w:t>In addition to above mentioned activities, the PIU Consulta</w:t>
      </w:r>
      <w:r w:rsidR="00C83E77">
        <w:t xml:space="preserve">nt has performed the following other activities and </w:t>
      </w:r>
      <w:r>
        <w:t>tasks</w:t>
      </w:r>
      <w:r w:rsidR="00C83E77">
        <w:t xml:space="preserve"> during 2020</w:t>
      </w:r>
      <w:r>
        <w:t>:</w:t>
      </w:r>
    </w:p>
    <w:p w:rsidR="00422A3C" w:rsidRDefault="00422A3C" w:rsidP="00422A3C">
      <w:pPr>
        <w:pStyle w:val="ListParagraph1"/>
        <w:numPr>
          <w:ilvl w:val="0"/>
          <w:numId w:val="2"/>
        </w:numPr>
        <w:spacing w:before="0" w:after="0" w:line="240" w:lineRule="auto"/>
        <w:ind w:right="277"/>
      </w:pPr>
      <w:r>
        <w:t>Drafting the letters, official requests, small ad-hoc reports and other documents relating to Project progress, issues and plans upon request of Maxsustrans and PIU;</w:t>
      </w:r>
    </w:p>
    <w:p w:rsidR="00422A3C" w:rsidRDefault="00422A3C" w:rsidP="00422A3C">
      <w:pPr>
        <w:pStyle w:val="ListParagraph1"/>
        <w:numPr>
          <w:ilvl w:val="0"/>
          <w:numId w:val="2"/>
        </w:numPr>
        <w:spacing w:before="0" w:after="0" w:line="240" w:lineRule="auto"/>
        <w:ind w:right="277"/>
      </w:pPr>
      <w:r>
        <w:t>Assisting the City’s Tender Committee in drafting the minutes of meeting and other information from the on-going bid proposals;</w:t>
      </w:r>
    </w:p>
    <w:p w:rsidR="00422A3C" w:rsidRDefault="001F64F9" w:rsidP="00422A3C">
      <w:pPr>
        <w:pStyle w:val="ListParagraph1"/>
        <w:numPr>
          <w:ilvl w:val="0"/>
          <w:numId w:val="2"/>
        </w:numPr>
        <w:spacing w:before="0" w:after="0" w:line="240" w:lineRule="auto"/>
        <w:ind w:right="277"/>
      </w:pPr>
      <w:r>
        <w:t>Supporting PIU during the audit of the Project annual Financial Statement for FY 2019;</w:t>
      </w:r>
    </w:p>
    <w:p w:rsidR="001F64F9" w:rsidRDefault="001F64F9" w:rsidP="00422A3C">
      <w:pPr>
        <w:pStyle w:val="ListParagraph1"/>
        <w:numPr>
          <w:ilvl w:val="0"/>
          <w:numId w:val="2"/>
        </w:numPr>
        <w:spacing w:before="0" w:after="0" w:line="240" w:lineRule="auto"/>
        <w:ind w:right="277"/>
      </w:pPr>
      <w:r>
        <w:lastRenderedPageBreak/>
        <w:t>Supporting Maxsustrans during the audit of the Entity’s annual Financial Statement for FY 2019 and updating the Loan Covenants;</w:t>
      </w:r>
    </w:p>
    <w:p w:rsidR="001F64F9" w:rsidRDefault="001F64F9" w:rsidP="00833432">
      <w:pPr>
        <w:pStyle w:val="ListParagraph1"/>
        <w:numPr>
          <w:ilvl w:val="0"/>
          <w:numId w:val="2"/>
        </w:numPr>
        <w:spacing w:before="0" w:after="0" w:line="240" w:lineRule="auto"/>
        <w:ind w:right="277"/>
      </w:pPr>
      <w:r>
        <w:t>Preparing and providing to Maxsustrans the Project related data for preparation of the Entity’s Annual Business Plan for FY 2020 and 2021;</w:t>
      </w:r>
    </w:p>
    <w:p w:rsidR="001F64F9" w:rsidRDefault="00FF658A" w:rsidP="00833432">
      <w:pPr>
        <w:pStyle w:val="ListParagraph1"/>
        <w:numPr>
          <w:ilvl w:val="0"/>
          <w:numId w:val="2"/>
        </w:numPr>
        <w:spacing w:before="0" w:after="0" w:line="240" w:lineRule="auto"/>
        <w:ind w:right="277"/>
      </w:pPr>
      <w:r>
        <w:t xml:space="preserve">Communication with the local Government’s authorities (MIFT, </w:t>
      </w:r>
      <w:proofErr w:type="spellStart"/>
      <w:r>
        <w:t>MoF</w:t>
      </w:r>
      <w:proofErr w:type="spellEnd"/>
      <w:r>
        <w:t>, Tashkent Municipality and others) regarding the Project progress and issues and providing the Project related data;</w:t>
      </w:r>
    </w:p>
    <w:p w:rsidR="0063000D" w:rsidRDefault="00447190" w:rsidP="00587070">
      <w:pPr>
        <w:pStyle w:val="ListParagraph1"/>
        <w:numPr>
          <w:ilvl w:val="0"/>
          <w:numId w:val="2"/>
        </w:numPr>
        <w:spacing w:before="0" w:after="0" w:line="240" w:lineRule="auto"/>
        <w:ind w:right="277"/>
      </w:pPr>
      <w:r>
        <w:t>Coordination and communication with other Consultants of the Project regarding the current issues and future plans</w:t>
      </w:r>
      <w:r w:rsidR="0063000D">
        <w:t>;</w:t>
      </w:r>
    </w:p>
    <w:p w:rsidR="0063000D" w:rsidRDefault="0063000D" w:rsidP="00587070">
      <w:pPr>
        <w:pStyle w:val="ListParagraph1"/>
        <w:numPr>
          <w:ilvl w:val="0"/>
          <w:numId w:val="2"/>
        </w:numPr>
        <w:spacing w:before="0" w:after="0" w:line="240" w:lineRule="auto"/>
        <w:ind w:right="277"/>
      </w:pPr>
      <w:r>
        <w:t>Assisting ADB team during Project review missions, providing the project data updating the Procurement Plan, Procurement Schedule and Disbursement Plan;</w:t>
      </w:r>
    </w:p>
    <w:p w:rsidR="0063000D" w:rsidRDefault="0063000D" w:rsidP="00587070">
      <w:pPr>
        <w:pStyle w:val="ListParagraph1"/>
        <w:numPr>
          <w:ilvl w:val="0"/>
          <w:numId w:val="2"/>
        </w:numPr>
        <w:spacing w:before="0" w:after="0" w:line="240" w:lineRule="auto"/>
        <w:ind w:right="277"/>
      </w:pPr>
      <w:r>
        <w:t>Updating the Loan Covenants and submitting to ADB for review;</w:t>
      </w:r>
    </w:p>
    <w:p w:rsidR="0063000D" w:rsidRDefault="0063000D" w:rsidP="00587070">
      <w:pPr>
        <w:pStyle w:val="ListParagraph1"/>
        <w:numPr>
          <w:ilvl w:val="0"/>
          <w:numId w:val="2"/>
        </w:numPr>
        <w:spacing w:before="0" w:after="0" w:line="240" w:lineRule="auto"/>
        <w:ind w:right="277"/>
      </w:pPr>
      <w:r>
        <w:t>Drafting the Project related information</w:t>
      </w:r>
      <w:r w:rsidR="005002C0">
        <w:t>, procurement notices</w:t>
      </w:r>
      <w:r>
        <w:t xml:space="preserve"> and announcements for posting at </w:t>
      </w:r>
      <w:r w:rsidR="005002C0">
        <w:t xml:space="preserve">the </w:t>
      </w:r>
      <w:r>
        <w:t>web site</w:t>
      </w:r>
      <w:r w:rsidR="005002C0">
        <w:t xml:space="preserve"> of Maxsustrans</w:t>
      </w:r>
      <w:r w:rsidR="00B53FF7">
        <w:t>, Tashkent Municipality</w:t>
      </w:r>
      <w:r w:rsidR="005002C0">
        <w:t xml:space="preserve"> and others</w:t>
      </w:r>
      <w:r w:rsidR="00672422">
        <w:t>;</w:t>
      </w:r>
    </w:p>
    <w:p w:rsidR="00D45ED1" w:rsidRDefault="00672422" w:rsidP="005C5DE2">
      <w:pPr>
        <w:pStyle w:val="ListParagraph1"/>
        <w:numPr>
          <w:ilvl w:val="0"/>
          <w:numId w:val="2"/>
        </w:numPr>
        <w:spacing w:before="0" w:after="0" w:line="240" w:lineRule="auto"/>
        <w:ind w:right="277"/>
      </w:pPr>
      <w:r>
        <w:t xml:space="preserve">Drafting the Grant Agreement between Maxsustrans and </w:t>
      </w:r>
      <w:r w:rsidRPr="00672422">
        <w:t>Evergreen Motors Group</w:t>
      </w:r>
      <w:r w:rsidR="005C5DE2">
        <w:t xml:space="preserve"> (South Korea) for supply of 10 waste collection trucks “</w:t>
      </w:r>
      <w:r w:rsidR="005C5DE2" w:rsidRPr="005C5DE2">
        <w:t>Hyundai HD120</w:t>
      </w:r>
      <w:r w:rsidR="005C5DE2">
        <w:t xml:space="preserve">” on the grant basis. </w:t>
      </w:r>
      <w:r w:rsidR="00D45ED1">
        <w:t xml:space="preserve">In course of the bid under package G6 – Supply of Waste Collection Trucks (59 pcs), the </w:t>
      </w:r>
      <w:r w:rsidR="00D45ED1" w:rsidRPr="00672422">
        <w:t>Evergreen Motors Group</w:t>
      </w:r>
      <w:r w:rsidR="00D45ED1">
        <w:t xml:space="preserve"> has offered to the Government of Uzbekistan to supply additional 10 waste collection trucks free of charge as contribution of the Korean company in development of Uzbekistan (please see letter </w:t>
      </w:r>
      <w:r w:rsidR="007E7717">
        <w:t xml:space="preserve">Ref. No. EGM-20200210 </w:t>
      </w:r>
      <w:r w:rsidR="00D45ED1">
        <w:t xml:space="preserve">from 10 February 2020 in </w:t>
      </w:r>
      <w:r w:rsidR="00D45ED1" w:rsidRPr="00BA3081">
        <w:rPr>
          <w:highlight w:val="yellow"/>
        </w:rPr>
        <w:t xml:space="preserve">Annex </w:t>
      </w:r>
      <w:r w:rsidR="007E0A1B" w:rsidRPr="00BA3081">
        <w:rPr>
          <w:highlight w:val="yellow"/>
        </w:rPr>
        <w:t>4</w:t>
      </w:r>
      <w:r w:rsidR="00D45ED1">
        <w:t xml:space="preserve">). </w:t>
      </w:r>
    </w:p>
    <w:p w:rsidR="000B2201" w:rsidRDefault="005C5DE2" w:rsidP="005C5DE2">
      <w:pPr>
        <w:pStyle w:val="ListParagraph1"/>
        <w:numPr>
          <w:ilvl w:val="0"/>
          <w:numId w:val="2"/>
        </w:numPr>
        <w:spacing w:before="0" w:after="0" w:line="240" w:lineRule="auto"/>
        <w:ind w:right="277"/>
      </w:pPr>
      <w:r>
        <w:t xml:space="preserve">Assistance to the Client/PIU in communication with </w:t>
      </w:r>
      <w:r w:rsidR="007E7717" w:rsidRPr="00672422">
        <w:t>Evergreen Motors Group</w:t>
      </w:r>
      <w:r w:rsidR="007E7717">
        <w:t xml:space="preserve"> to agree and sign the Grant Agreement</w:t>
      </w:r>
      <w:r>
        <w:t xml:space="preserve"> and </w:t>
      </w:r>
      <w:r w:rsidR="007E7717">
        <w:t>coordination with the Ministry of Investments and Foreign Trade,</w:t>
      </w:r>
      <w:r>
        <w:t xml:space="preserve"> which </w:t>
      </w:r>
      <w:r w:rsidR="007E7717">
        <w:t xml:space="preserve">is </w:t>
      </w:r>
      <w:r>
        <w:t>responsible for review and approval of the Grant Agreements</w:t>
      </w:r>
      <w:r w:rsidR="007E7717">
        <w:t xml:space="preserve"> on behalf of the Government of the Republic of Uzbekistan. </w:t>
      </w:r>
    </w:p>
    <w:p w:rsidR="00672422" w:rsidRDefault="000B2201" w:rsidP="000B2201">
      <w:pPr>
        <w:pStyle w:val="ListParagraph1"/>
        <w:spacing w:line="240" w:lineRule="auto"/>
        <w:ind w:left="720" w:right="277"/>
      </w:pPr>
      <w:r w:rsidRPr="000B2201">
        <w:rPr>
          <w:i/>
        </w:rPr>
        <w:t>For information:</w:t>
      </w:r>
      <w:r>
        <w:t xml:space="preserve"> Th</w:t>
      </w:r>
      <w:bookmarkStart w:id="26" w:name="_GoBack"/>
      <w:bookmarkEnd w:id="26"/>
      <w:r>
        <w:t>e Grant Agreement for supply of 10 waste collection trucks “</w:t>
      </w:r>
      <w:r w:rsidRPr="005C5DE2">
        <w:t>Hyundai HD120</w:t>
      </w:r>
      <w:r>
        <w:t xml:space="preserve">” was signed by the Parties on 20 May 2020. The total amount of supply is $840,000. The deadline for completion of supply of the Goods, incl. commissioning of the Goods and training of </w:t>
      </w:r>
      <w:proofErr w:type="spellStart"/>
      <w:r>
        <w:t>Maxsustrans’s</w:t>
      </w:r>
      <w:proofErr w:type="spellEnd"/>
      <w:r>
        <w:t xml:space="preserve"> staff: One hundred fifty (150) calendar days from the date of final payment for 59 units of waste collection trucks as per Contract No. </w:t>
      </w:r>
      <w:proofErr w:type="gramStart"/>
      <w:r>
        <w:t>SUE/Maxsustrans/ICB-G6-02 from 28.02.2020.</w:t>
      </w:r>
      <w:proofErr w:type="gramEnd"/>
      <w:r>
        <w:t xml:space="preserve"> The final payment to </w:t>
      </w:r>
      <w:proofErr w:type="spellStart"/>
      <w:r>
        <w:t>Posco</w:t>
      </w:r>
      <w:proofErr w:type="spellEnd"/>
      <w:r>
        <w:t xml:space="preserve"> International Ltd. was done on 1 December </w:t>
      </w:r>
      <w:proofErr w:type="gramStart"/>
      <w:r>
        <w:t>2020,</w:t>
      </w:r>
      <w:proofErr w:type="gramEnd"/>
      <w:r>
        <w:t xml:space="preserve"> it means the deadline for supply of 10 additional trucks is </w:t>
      </w:r>
      <w:r w:rsidRPr="000B2201">
        <w:rPr>
          <w:b/>
        </w:rPr>
        <w:t>30.04.2021</w:t>
      </w:r>
      <w:r>
        <w:t>.</w:t>
      </w:r>
    </w:p>
    <w:p w:rsidR="004E30FF" w:rsidRDefault="005127DB" w:rsidP="00587070">
      <w:pPr>
        <w:pStyle w:val="ListParagraph1"/>
        <w:numPr>
          <w:ilvl w:val="0"/>
          <w:numId w:val="2"/>
        </w:numPr>
        <w:spacing w:before="0" w:after="0" w:line="240" w:lineRule="auto"/>
        <w:ind w:right="277"/>
      </w:pPr>
      <w:r>
        <w:br w:type="page"/>
      </w:r>
    </w:p>
    <w:p w:rsidR="004E30FF" w:rsidRDefault="004E30FF">
      <w:pPr>
        <w:pStyle w:val="1"/>
        <w:numPr>
          <w:ilvl w:val="0"/>
          <w:numId w:val="5"/>
        </w:numPr>
        <w:spacing w:line="240" w:lineRule="auto"/>
      </w:pPr>
      <w:bookmarkStart w:id="27" w:name="_Toc64301507"/>
      <w:bookmarkEnd w:id="14"/>
      <w:r>
        <w:lastRenderedPageBreak/>
        <w:t>Activities planned for the next reporting period</w:t>
      </w:r>
      <w:bookmarkEnd w:id="27"/>
    </w:p>
    <w:p w:rsidR="004E30FF" w:rsidRDefault="004E30FF">
      <w:pPr>
        <w:spacing w:line="240" w:lineRule="auto"/>
      </w:pPr>
    </w:p>
    <w:p w:rsidR="004E30FF" w:rsidRDefault="004E30FF">
      <w:pPr>
        <w:spacing w:line="240" w:lineRule="auto"/>
      </w:pPr>
      <w:r>
        <w:t>In the following quarterly reporting period (</w:t>
      </w:r>
      <w:r w:rsidR="0031784B">
        <w:rPr>
          <w:b/>
        </w:rPr>
        <w:t xml:space="preserve">January </w:t>
      </w:r>
      <w:r>
        <w:rPr>
          <w:b/>
        </w:rPr>
        <w:t xml:space="preserve">– </w:t>
      </w:r>
      <w:r w:rsidR="0031784B">
        <w:rPr>
          <w:b/>
        </w:rPr>
        <w:t>March 2021</w:t>
      </w:r>
      <w:r>
        <w:t xml:space="preserve">) the Consultant intends to perform the following activities:  </w:t>
      </w:r>
    </w:p>
    <w:p w:rsidR="004E30FF" w:rsidRDefault="004E30FF">
      <w:pPr>
        <w:spacing w:line="240" w:lineRule="auto"/>
      </w:pPr>
    </w:p>
    <w:p w:rsidR="004E30FF" w:rsidRDefault="004E30FF">
      <w:pPr>
        <w:pStyle w:val="2"/>
        <w:numPr>
          <w:ilvl w:val="1"/>
          <w:numId w:val="5"/>
        </w:numPr>
        <w:spacing w:before="0"/>
      </w:pPr>
      <w:bookmarkStart w:id="28" w:name="_Toc64301508"/>
      <w:r>
        <w:t>Project Management (TOR Task A)</w:t>
      </w:r>
      <w:bookmarkEnd w:id="28"/>
    </w:p>
    <w:p w:rsidR="004E30FF" w:rsidRDefault="004E30FF">
      <w:pPr>
        <w:spacing w:line="240" w:lineRule="auto"/>
        <w:ind w:left="576"/>
        <w:rPr>
          <w:b/>
        </w:rPr>
      </w:pPr>
    </w:p>
    <w:p w:rsidR="0063000D" w:rsidRDefault="004E30FF">
      <w:pPr>
        <w:spacing w:line="240" w:lineRule="auto"/>
      </w:pPr>
      <w:r>
        <w:t>The Consultant will conduct project management tasks (planning, monitoring</w:t>
      </w:r>
      <w:r w:rsidR="00DF1D1F">
        <w:t>,</w:t>
      </w:r>
      <w:r>
        <w:t xml:space="preserve"> evaluation</w:t>
      </w:r>
      <w:r w:rsidR="00DF1D1F">
        <w:t xml:space="preserve"> and</w:t>
      </w:r>
      <w:r>
        <w:t xml:space="preserve"> progress reporting) and assist the Client and </w:t>
      </w:r>
      <w:r w:rsidR="00DF1D1F">
        <w:t>PIU</w:t>
      </w:r>
      <w:r>
        <w:t xml:space="preserve"> in coordination and communication with other Consultants </w:t>
      </w:r>
      <w:r w:rsidR="00C26574">
        <w:t xml:space="preserve">engaged under </w:t>
      </w:r>
      <w:r>
        <w:t>the Project and also with local authorities regarding progress, planning</w:t>
      </w:r>
      <w:r w:rsidR="00DF1D1F">
        <w:t xml:space="preserve">, monitoring </w:t>
      </w:r>
      <w:r>
        <w:t xml:space="preserve">and </w:t>
      </w:r>
      <w:r w:rsidR="00DF1D1F">
        <w:t>reporting</w:t>
      </w:r>
      <w:r w:rsidR="00C26574">
        <w:t xml:space="preserve"> on the Project development activities. A certain support will be provided to PIU on accounting and financial matters relating to the Project disbursements, withdrawal applications, financial and audit reports.</w:t>
      </w:r>
    </w:p>
    <w:p w:rsidR="0063000D" w:rsidRDefault="0063000D">
      <w:pPr>
        <w:spacing w:line="240" w:lineRule="auto"/>
      </w:pPr>
    </w:p>
    <w:p w:rsidR="004E30FF" w:rsidRDefault="004E30FF">
      <w:pPr>
        <w:spacing w:line="240" w:lineRule="auto"/>
      </w:pPr>
      <w:r>
        <w:t xml:space="preserve">The following </w:t>
      </w:r>
      <w:r w:rsidR="007F655F">
        <w:t>reports and key outputs are expected</w:t>
      </w:r>
      <w:r w:rsidR="006C3127">
        <w:t xml:space="preserve"> </w:t>
      </w:r>
      <w:r w:rsidR="00E564CC">
        <w:t xml:space="preserve">from PIU Consultants </w:t>
      </w:r>
      <w:r w:rsidR="006C3127">
        <w:t>within the next reporting period</w:t>
      </w:r>
      <w:r>
        <w:t>:</w:t>
      </w:r>
    </w:p>
    <w:p w:rsidR="004E30FF" w:rsidRDefault="004E30FF">
      <w:pPr>
        <w:spacing w:line="240" w:lineRule="auto"/>
      </w:pPr>
    </w:p>
    <w:tbl>
      <w:tblPr>
        <w:tblW w:w="4850" w:type="pct"/>
        <w:tblInd w:w="108" w:type="dxa"/>
        <w:tblLayout w:type="fixed"/>
        <w:tblCellMar>
          <w:left w:w="113" w:type="dxa"/>
        </w:tblCellMar>
        <w:tblLook w:val="0000"/>
      </w:tblPr>
      <w:tblGrid>
        <w:gridCol w:w="3590"/>
        <w:gridCol w:w="1976"/>
        <w:gridCol w:w="3860"/>
      </w:tblGrid>
      <w:tr w:rsidR="004E30FF"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pPr>
              <w:spacing w:line="240" w:lineRule="auto"/>
            </w:pPr>
            <w:r>
              <w:rPr>
                <w:rStyle w:val="Strong1"/>
              </w:rPr>
              <w:t>Action</w:t>
            </w:r>
            <w:r w:rsidR="00DF1D1F">
              <w:rPr>
                <w:rStyle w:val="Strong1"/>
              </w:rPr>
              <w:t xml:space="preserve"> / Deliverable acc. to Contract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rsidP="00CF7747">
            <w:pPr>
              <w:spacing w:line="240" w:lineRule="auto"/>
              <w:jc w:val="center"/>
            </w:pPr>
            <w:r>
              <w:rPr>
                <w:rStyle w:val="Strong1"/>
              </w:rPr>
              <w:t>Time frame</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pPr>
              <w:spacing w:line="240" w:lineRule="auto"/>
            </w:pPr>
            <w:r>
              <w:rPr>
                <w:rStyle w:val="Strong1"/>
              </w:rPr>
              <w:t xml:space="preserve">Responsibility within PIU Consultant </w:t>
            </w:r>
          </w:p>
        </w:tc>
      </w:tr>
      <w:tr w:rsidR="00E564CC" w:rsidTr="00B0693A">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E564CC" w:rsidRDefault="00E564CC" w:rsidP="00E564CC">
            <w:pPr>
              <w:spacing w:line="240" w:lineRule="auto"/>
              <w:jc w:val="left"/>
            </w:pPr>
            <w:r>
              <w:t>Quarterly Progress Report for 1. Quarter 2021</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E564CC" w:rsidRDefault="00E564CC" w:rsidP="00E564CC">
            <w:pPr>
              <w:jc w:val="center"/>
            </w:pPr>
            <w:r>
              <w:t>Within 15 days after Q1/2021</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E564CC" w:rsidRDefault="00E564CC" w:rsidP="00B0693A">
            <w:pPr>
              <w:spacing w:line="240" w:lineRule="auto"/>
              <w:jc w:val="left"/>
            </w:pPr>
            <w:r>
              <w:t>Deputy Team Leader</w:t>
            </w:r>
            <w:r w:rsidR="0090644C">
              <w:t>, Team Leader</w:t>
            </w:r>
          </w:p>
        </w:tc>
      </w:tr>
      <w:tr w:rsidR="004E30FF"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pPr>
              <w:spacing w:line="240" w:lineRule="auto"/>
              <w:jc w:val="left"/>
            </w:pPr>
            <w:r>
              <w:t xml:space="preserve">Social Safeguard Monitoring Report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E564CC" w:rsidP="005127DB">
            <w:pPr>
              <w:spacing w:line="240" w:lineRule="auto"/>
              <w:jc w:val="center"/>
            </w:pPr>
            <w:r>
              <w:t>Within 15 days after Q1/2021</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pPr>
              <w:spacing w:line="240" w:lineRule="auto"/>
              <w:jc w:val="left"/>
            </w:pPr>
            <w:r>
              <w:t>National Social Safeguards and Development Specialist</w:t>
            </w:r>
          </w:p>
        </w:tc>
      </w:tr>
      <w:tr w:rsidR="00DF1D1F"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DF1D1F" w:rsidRDefault="00DF1D1F">
            <w:pPr>
              <w:spacing w:line="240" w:lineRule="auto"/>
              <w:jc w:val="left"/>
            </w:pPr>
            <w:r>
              <w:t>Environmental Monitoring Report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F1D1F" w:rsidRDefault="00E564CC" w:rsidP="00DF1D1F">
            <w:pPr>
              <w:jc w:val="center"/>
            </w:pPr>
            <w:r>
              <w:t>Within 15 days after Q1/2021</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DF1D1F" w:rsidRDefault="00DF1D1F">
            <w:pPr>
              <w:spacing w:line="240" w:lineRule="auto"/>
              <w:jc w:val="left"/>
            </w:pPr>
            <w:r>
              <w:t>National Environmental Specialist</w:t>
            </w:r>
          </w:p>
        </w:tc>
      </w:tr>
      <w:tr w:rsidR="004E30FF"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rsidP="00E564CC">
            <w:pPr>
              <w:spacing w:line="240" w:lineRule="auto"/>
              <w:jc w:val="left"/>
            </w:pPr>
            <w:r>
              <w:t>Updat</w:t>
            </w:r>
            <w:r w:rsidR="00E564CC">
              <w:t xml:space="preserve">e the </w:t>
            </w:r>
            <w:r>
              <w:t>Project Implemen</w:t>
            </w:r>
            <w:r w:rsidR="00E564CC">
              <w:t>tation and Procurement Schedule/Plan</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E564CC" w:rsidP="00E564CC">
            <w:pPr>
              <w:spacing w:line="240" w:lineRule="auto"/>
              <w:jc w:val="center"/>
            </w:pPr>
            <w:r>
              <w:t>As and when required</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4E30FF" w:rsidRDefault="004E30FF">
            <w:pPr>
              <w:spacing w:line="240" w:lineRule="auto"/>
              <w:jc w:val="left"/>
            </w:pPr>
            <w:r>
              <w:t>International and National Procurement Specialists</w:t>
            </w:r>
          </w:p>
        </w:tc>
      </w:tr>
      <w:tr w:rsidR="00E564CC"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E564CC" w:rsidRDefault="00E564CC" w:rsidP="00316992">
            <w:pPr>
              <w:spacing w:line="240" w:lineRule="auto"/>
              <w:jc w:val="left"/>
            </w:pPr>
            <w:r>
              <w:t>Update</w:t>
            </w:r>
            <w:r w:rsidR="00316992">
              <w:t>/complete</w:t>
            </w:r>
            <w:r>
              <w:t xml:space="preserve"> the Bid Evaluation Report under the ongoing packages (CW2-Transfer Station Rehabilitation)</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E564CC" w:rsidRDefault="00E564CC" w:rsidP="00B0693A">
            <w:pPr>
              <w:spacing w:line="240" w:lineRule="auto"/>
              <w:jc w:val="center"/>
            </w:pPr>
            <w:r>
              <w:t>As and when required</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E564CC" w:rsidRDefault="00E564CC" w:rsidP="00B0693A">
            <w:pPr>
              <w:spacing w:line="240" w:lineRule="auto"/>
              <w:jc w:val="left"/>
            </w:pPr>
            <w:r>
              <w:t>International and National Procurement Specialists</w:t>
            </w:r>
          </w:p>
        </w:tc>
      </w:tr>
      <w:tr w:rsidR="006A4AE5"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A4AE5" w:rsidRDefault="006A4AE5" w:rsidP="00E564CC">
            <w:pPr>
              <w:spacing w:line="240" w:lineRule="auto"/>
              <w:jc w:val="left"/>
            </w:pPr>
            <w:r>
              <w:t>Revision and completion of the Bidding Documents for package CW1-Sanitary Landfill Establishment (in case of rebidding)</w:t>
            </w:r>
          </w:p>
          <w:p w:rsidR="003F4516" w:rsidRDefault="003F4516" w:rsidP="00E564CC">
            <w:pPr>
              <w:spacing w:line="240" w:lineRule="auto"/>
              <w:jc w:val="left"/>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6A4AE5" w:rsidRDefault="006A4AE5" w:rsidP="00B0693A">
            <w:pPr>
              <w:spacing w:line="240" w:lineRule="auto"/>
              <w:jc w:val="center"/>
            </w:pPr>
            <w:r>
              <w:t>As and when required</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6A4AE5" w:rsidRDefault="006A4AE5" w:rsidP="00B0693A">
            <w:pPr>
              <w:spacing w:line="240" w:lineRule="auto"/>
              <w:jc w:val="left"/>
            </w:pPr>
            <w:r>
              <w:t xml:space="preserve">Deputy Team Leader, </w:t>
            </w:r>
            <w:r w:rsidR="0090644C">
              <w:t xml:space="preserve">International SWM Specialist, SWM Engineer, </w:t>
            </w:r>
            <w:r>
              <w:t>International and National Procurement Specialists</w:t>
            </w:r>
          </w:p>
        </w:tc>
      </w:tr>
      <w:tr w:rsidR="006A4AE5"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6A4AE5" w:rsidRDefault="006A4AE5" w:rsidP="00B0693A">
            <w:pPr>
              <w:spacing w:line="240" w:lineRule="auto"/>
              <w:jc w:val="left"/>
            </w:pPr>
            <w:r>
              <w:t xml:space="preserve">Disbursement Requests (Withdrawal Applications) </w:t>
            </w:r>
          </w:p>
          <w:p w:rsidR="003F4516" w:rsidRDefault="003F4516" w:rsidP="00B0693A">
            <w:pPr>
              <w:spacing w:line="240" w:lineRule="auto"/>
              <w:jc w:val="left"/>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6A4AE5" w:rsidRDefault="006A4AE5" w:rsidP="00B0693A">
            <w:pPr>
              <w:spacing w:line="240" w:lineRule="auto"/>
              <w:jc w:val="center"/>
            </w:pPr>
            <w:r>
              <w:t>As and when required</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6A4AE5" w:rsidRDefault="006A4AE5" w:rsidP="00B0693A">
            <w:pPr>
              <w:spacing w:line="240" w:lineRule="auto"/>
              <w:jc w:val="left"/>
            </w:pPr>
            <w:r>
              <w:t>National Financial Management Specialist</w:t>
            </w:r>
          </w:p>
        </w:tc>
      </w:tr>
      <w:tr w:rsidR="0090644C"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90644C" w:rsidRDefault="0090644C" w:rsidP="00B0693A">
            <w:pPr>
              <w:spacing w:line="240" w:lineRule="auto"/>
              <w:jc w:val="left"/>
            </w:pPr>
            <w:r>
              <w:t xml:space="preserve">Assessments to design and other documentations for construction works </w:t>
            </w:r>
          </w:p>
          <w:p w:rsidR="003F4516" w:rsidRDefault="003F4516" w:rsidP="00B0693A">
            <w:pPr>
              <w:spacing w:line="240" w:lineRule="auto"/>
              <w:jc w:val="left"/>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90644C" w:rsidRDefault="0090644C" w:rsidP="00B0693A">
            <w:pPr>
              <w:spacing w:line="240" w:lineRule="auto"/>
              <w:jc w:val="center"/>
            </w:pPr>
            <w:r>
              <w:t>As and when required</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90644C" w:rsidRDefault="0090644C" w:rsidP="0090644C">
            <w:pPr>
              <w:spacing w:line="240" w:lineRule="auto"/>
              <w:jc w:val="left"/>
            </w:pPr>
            <w:r>
              <w:t>International SWM Specialist, SWM Engineer and National Supervision Specialist</w:t>
            </w:r>
          </w:p>
        </w:tc>
      </w:tr>
      <w:tr w:rsidR="0090644C" w:rsidTr="00DF1D1F">
        <w:tc>
          <w:tcPr>
            <w:tcW w:w="3590" w:type="dxa"/>
            <w:tcBorders>
              <w:top w:val="single" w:sz="4" w:space="0" w:color="000000"/>
              <w:left w:val="single" w:sz="4" w:space="0" w:color="000000"/>
              <w:bottom w:val="single" w:sz="4" w:space="0" w:color="000000"/>
              <w:right w:val="single" w:sz="4" w:space="0" w:color="000000"/>
            </w:tcBorders>
            <w:shd w:val="clear" w:color="auto" w:fill="auto"/>
          </w:tcPr>
          <w:p w:rsidR="0090644C" w:rsidRDefault="0090644C">
            <w:pPr>
              <w:spacing w:line="240" w:lineRule="auto"/>
              <w:jc w:val="left"/>
            </w:pPr>
            <w:r>
              <w:t>Other activities required for Project implementation and monitoring (</w:t>
            </w:r>
            <w:proofErr w:type="spellStart"/>
            <w:r>
              <w:t>ed</w:t>
            </w:r>
            <w:proofErr w:type="spellEnd"/>
            <w:r>
              <w:t xml:space="preserve">-hoc tasks and progress reporting, correspondences with ADB, local Government and other project stakeholders)  </w:t>
            </w:r>
          </w:p>
          <w:p w:rsidR="003F4516" w:rsidRDefault="003F4516">
            <w:pPr>
              <w:spacing w:line="240" w:lineRule="auto"/>
              <w:jc w:val="left"/>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90644C" w:rsidRDefault="0090644C" w:rsidP="00DF1D1F">
            <w:pPr>
              <w:spacing w:line="240" w:lineRule="auto"/>
              <w:jc w:val="center"/>
            </w:pPr>
            <w:r>
              <w:t>Upon demand</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90644C" w:rsidRDefault="0090644C">
            <w:pPr>
              <w:spacing w:line="240" w:lineRule="auto"/>
              <w:jc w:val="left"/>
            </w:pPr>
            <w:r>
              <w:rPr>
                <w:rFonts w:cs="Calibri"/>
              </w:rPr>
              <w:t>The whole team under leadership of Deputy Team Leader</w:t>
            </w:r>
          </w:p>
        </w:tc>
      </w:tr>
    </w:tbl>
    <w:p w:rsidR="004E30FF" w:rsidRDefault="004E30FF" w:rsidP="0036169E">
      <w:pPr>
        <w:pStyle w:val="2"/>
        <w:numPr>
          <w:ilvl w:val="0"/>
          <w:numId w:val="0"/>
        </w:numPr>
        <w:spacing w:before="0"/>
        <w:ind w:left="576" w:hanging="576"/>
      </w:pPr>
    </w:p>
    <w:p w:rsidR="0036169E" w:rsidRDefault="0036169E" w:rsidP="0036169E">
      <w:pPr>
        <w:spacing w:line="240" w:lineRule="auto"/>
        <w:rPr>
          <w:lang w:eastAsia="es-ES"/>
        </w:rPr>
      </w:pPr>
      <w:r>
        <w:rPr>
          <w:lang w:eastAsia="es-ES"/>
        </w:rPr>
        <w:t xml:space="preserve">The updated Project Implementation Schedule is provided in </w:t>
      </w:r>
      <w:r w:rsidR="007E0A1B">
        <w:rPr>
          <w:highlight w:val="yellow"/>
          <w:lang w:eastAsia="es-ES"/>
        </w:rPr>
        <w:t>Annex 5</w:t>
      </w:r>
      <w:r w:rsidRPr="007E0A1B">
        <w:rPr>
          <w:highlight w:val="yellow"/>
          <w:lang w:eastAsia="es-ES"/>
        </w:rPr>
        <w:t>.</w:t>
      </w:r>
      <w:r w:rsidRPr="007E0A1B">
        <w:rPr>
          <w:lang w:eastAsia="es-ES"/>
        </w:rPr>
        <w:t xml:space="preserve"> </w:t>
      </w:r>
    </w:p>
    <w:p w:rsidR="000221D6" w:rsidRDefault="000221D6" w:rsidP="0036169E">
      <w:pPr>
        <w:spacing w:line="240" w:lineRule="auto"/>
        <w:rPr>
          <w:lang w:eastAsia="es-ES"/>
        </w:rPr>
      </w:pPr>
    </w:p>
    <w:p w:rsidR="003F4516" w:rsidRDefault="003F4516" w:rsidP="003F4516">
      <w:pPr>
        <w:pStyle w:val="2"/>
        <w:numPr>
          <w:ilvl w:val="0"/>
          <w:numId w:val="0"/>
        </w:numPr>
        <w:spacing w:before="0"/>
        <w:ind w:left="576" w:hanging="576"/>
      </w:pPr>
    </w:p>
    <w:p w:rsidR="004E30FF" w:rsidRDefault="004E30FF">
      <w:pPr>
        <w:pStyle w:val="2"/>
        <w:numPr>
          <w:ilvl w:val="1"/>
          <w:numId w:val="5"/>
        </w:numPr>
        <w:spacing w:before="0"/>
      </w:pPr>
      <w:bookmarkStart w:id="29" w:name="_Toc64301509"/>
      <w:r>
        <w:t>Procurement (TOR Task B)</w:t>
      </w:r>
      <w:bookmarkEnd w:id="29"/>
    </w:p>
    <w:p w:rsidR="004E30FF" w:rsidRDefault="004E30FF">
      <w:pPr>
        <w:spacing w:line="240" w:lineRule="auto"/>
        <w:rPr>
          <w:lang w:eastAsia="es-ES"/>
        </w:rPr>
      </w:pPr>
    </w:p>
    <w:p w:rsidR="004E30FF" w:rsidRDefault="004E30FF">
      <w:pPr>
        <w:spacing w:line="240" w:lineRule="auto"/>
      </w:pPr>
      <w:r>
        <w:rPr>
          <w:lang w:eastAsia="es-ES"/>
        </w:rPr>
        <w:t xml:space="preserve">The Consultant will assist the Client and PIU with following </w:t>
      </w:r>
      <w:r w:rsidR="0047385F">
        <w:rPr>
          <w:lang w:eastAsia="es-ES"/>
        </w:rPr>
        <w:t xml:space="preserve">activities </w:t>
      </w:r>
      <w:r>
        <w:rPr>
          <w:lang w:eastAsia="es-ES"/>
        </w:rPr>
        <w:t>under this task:</w:t>
      </w:r>
    </w:p>
    <w:p w:rsidR="004E30FF" w:rsidRDefault="004E30FF">
      <w:pPr>
        <w:spacing w:line="240" w:lineRule="auto"/>
        <w:rPr>
          <w:lang w:eastAsia="es-ES"/>
        </w:rPr>
      </w:pPr>
    </w:p>
    <w:tbl>
      <w:tblPr>
        <w:tblW w:w="0" w:type="auto"/>
        <w:tblInd w:w="109" w:type="dxa"/>
        <w:tblLayout w:type="fixed"/>
        <w:tblLook w:val="0000"/>
      </w:tblPr>
      <w:tblGrid>
        <w:gridCol w:w="1747"/>
        <w:gridCol w:w="7771"/>
      </w:tblGrid>
      <w:tr w:rsidR="004E30FF">
        <w:tc>
          <w:tcPr>
            <w:tcW w:w="1747" w:type="dxa"/>
            <w:shd w:val="clear" w:color="auto" w:fill="BFBFBF"/>
          </w:tcPr>
          <w:p w:rsidR="004E30FF" w:rsidRDefault="004E30FF">
            <w:pPr>
              <w:spacing w:line="240" w:lineRule="auto"/>
            </w:pPr>
            <w:r>
              <w:rPr>
                <w:rStyle w:val="Strong1"/>
              </w:rPr>
              <w:t>GOODS</w:t>
            </w:r>
          </w:p>
        </w:tc>
        <w:tc>
          <w:tcPr>
            <w:tcW w:w="7771" w:type="dxa"/>
            <w:shd w:val="clear" w:color="auto" w:fill="BFBFBF"/>
          </w:tcPr>
          <w:p w:rsidR="004E30FF" w:rsidRDefault="004E30FF">
            <w:pPr>
              <w:spacing w:line="240" w:lineRule="auto"/>
            </w:pPr>
            <w:r>
              <w:rPr>
                <w:rStyle w:val="Strong1"/>
              </w:rPr>
              <w:t>Description of activities</w:t>
            </w:r>
          </w:p>
        </w:tc>
      </w:tr>
      <w:tr w:rsidR="002C4463" w:rsidTr="00B0693A">
        <w:tc>
          <w:tcPr>
            <w:tcW w:w="1747" w:type="dxa"/>
            <w:shd w:val="clear" w:color="auto" w:fill="auto"/>
          </w:tcPr>
          <w:p w:rsidR="002C4463" w:rsidRDefault="002C4463" w:rsidP="002C4463">
            <w:pPr>
              <w:spacing w:line="240" w:lineRule="auto"/>
            </w:pPr>
            <w:r>
              <w:t>G1 (Lot 1 and 2)</w:t>
            </w:r>
          </w:p>
        </w:tc>
        <w:tc>
          <w:tcPr>
            <w:tcW w:w="7771" w:type="dxa"/>
            <w:shd w:val="clear" w:color="auto" w:fill="auto"/>
          </w:tcPr>
          <w:p w:rsidR="002C4463" w:rsidRDefault="002C4463" w:rsidP="00B0693A">
            <w:pPr>
              <w:pStyle w:val="ListParagraph1"/>
              <w:spacing w:before="0" w:after="0" w:line="240" w:lineRule="auto"/>
            </w:pPr>
            <w:r>
              <w:t>Monitoring over completion of supply of Goods and Related Services, final commissio</w:t>
            </w:r>
            <w:r w:rsidR="00295384">
              <w:t>ning, preparation of documents for completion of the Contracts</w:t>
            </w:r>
          </w:p>
        </w:tc>
      </w:tr>
      <w:tr w:rsidR="004E30FF">
        <w:tc>
          <w:tcPr>
            <w:tcW w:w="1747" w:type="dxa"/>
            <w:shd w:val="clear" w:color="auto" w:fill="auto"/>
          </w:tcPr>
          <w:p w:rsidR="004E30FF" w:rsidRDefault="004E30FF">
            <w:pPr>
              <w:spacing w:line="240" w:lineRule="auto"/>
            </w:pPr>
            <w:r>
              <w:t>G1</w:t>
            </w:r>
            <w:r w:rsidR="00C47626">
              <w:t xml:space="preserve"> (Lot 3 and 4)</w:t>
            </w:r>
          </w:p>
        </w:tc>
        <w:tc>
          <w:tcPr>
            <w:tcW w:w="7771" w:type="dxa"/>
            <w:shd w:val="clear" w:color="auto" w:fill="auto"/>
          </w:tcPr>
          <w:p w:rsidR="00C47626" w:rsidRDefault="00A07A5F" w:rsidP="00420B48">
            <w:pPr>
              <w:pStyle w:val="ListParagraph1"/>
              <w:spacing w:before="0" w:after="0" w:line="240" w:lineRule="auto"/>
            </w:pPr>
            <w:r>
              <w:t>Revision</w:t>
            </w:r>
            <w:r w:rsidR="00F675ED">
              <w:t>/preparation</w:t>
            </w:r>
            <w:r>
              <w:t xml:space="preserve"> of the bidding documents of Lot 3 – S</w:t>
            </w:r>
            <w:r w:rsidRPr="00A07A5F">
              <w:t>upply of Bolster-type Truck and Tipping Semi Trail</w:t>
            </w:r>
            <w:r>
              <w:t xml:space="preserve">er and Lot 4 - Supply of Pickup for rebidding based on the Shopping bidding procedure. </w:t>
            </w:r>
            <w:r w:rsidR="00C47626">
              <w:t>Acc. to Minutes of Meeting of the City Tender Committee No</w:t>
            </w:r>
            <w:r>
              <w:t xml:space="preserve"> </w:t>
            </w:r>
            <w:r w:rsidR="00C47626">
              <w:t xml:space="preserve">.8 from 10.12.2019, </w:t>
            </w:r>
            <w:r w:rsidR="00C47626" w:rsidRPr="00C47626">
              <w:t xml:space="preserve">Lot 3 </w:t>
            </w:r>
            <w:r>
              <w:t xml:space="preserve">and Lot 4 </w:t>
            </w:r>
            <w:r w:rsidR="00C47626">
              <w:t xml:space="preserve">was recommended to rebid based on the Shopping bidding procedure. </w:t>
            </w:r>
            <w:r>
              <w:t>Due to lack of substantially responsive bids, ADB had no-objection to rebid Lot 3 and 4</w:t>
            </w:r>
            <w:r w:rsidR="00F675ED">
              <w:t xml:space="preserve">. </w:t>
            </w:r>
          </w:p>
          <w:p w:rsidR="004E30FF" w:rsidRDefault="004E30FF" w:rsidP="00420B48">
            <w:pPr>
              <w:pStyle w:val="ListParagraph1"/>
              <w:spacing w:before="0" w:after="0" w:line="240" w:lineRule="auto"/>
            </w:pPr>
          </w:p>
        </w:tc>
      </w:tr>
      <w:tr w:rsidR="004E30FF">
        <w:trPr>
          <w:trHeight w:val="57"/>
        </w:trPr>
        <w:tc>
          <w:tcPr>
            <w:tcW w:w="1747" w:type="dxa"/>
            <w:shd w:val="clear" w:color="auto" w:fill="BFBFBF"/>
          </w:tcPr>
          <w:p w:rsidR="004E30FF" w:rsidRDefault="004E30FF">
            <w:pPr>
              <w:spacing w:line="240" w:lineRule="auto"/>
            </w:pPr>
            <w:r>
              <w:rPr>
                <w:rStyle w:val="Strong1"/>
              </w:rPr>
              <w:t>WORKS</w:t>
            </w:r>
          </w:p>
        </w:tc>
        <w:tc>
          <w:tcPr>
            <w:tcW w:w="7771" w:type="dxa"/>
            <w:shd w:val="clear" w:color="auto" w:fill="BFBFBF"/>
          </w:tcPr>
          <w:p w:rsidR="004E30FF" w:rsidRDefault="004E30FF">
            <w:pPr>
              <w:spacing w:line="240" w:lineRule="auto"/>
            </w:pPr>
            <w:r>
              <w:rPr>
                <w:rStyle w:val="Strong1"/>
              </w:rPr>
              <w:t>Description of activities</w:t>
            </w:r>
          </w:p>
        </w:tc>
      </w:tr>
      <w:tr w:rsidR="004E30FF">
        <w:trPr>
          <w:trHeight w:val="66"/>
        </w:trPr>
        <w:tc>
          <w:tcPr>
            <w:tcW w:w="1747" w:type="dxa"/>
            <w:shd w:val="clear" w:color="auto" w:fill="auto"/>
          </w:tcPr>
          <w:p w:rsidR="004E30FF" w:rsidRDefault="004E30FF">
            <w:pPr>
              <w:spacing w:line="240" w:lineRule="auto"/>
            </w:pPr>
            <w:r>
              <w:t>CW 1 &amp; CW3</w:t>
            </w:r>
          </w:p>
        </w:tc>
        <w:tc>
          <w:tcPr>
            <w:tcW w:w="7771" w:type="dxa"/>
            <w:shd w:val="clear" w:color="auto" w:fill="auto"/>
          </w:tcPr>
          <w:p w:rsidR="004E30FF" w:rsidRDefault="00DA7BE1" w:rsidP="002845F4">
            <w:pPr>
              <w:spacing w:line="240" w:lineRule="auto"/>
            </w:pPr>
            <w:r>
              <w:t>Support in communication with ADB, City’s Tender Committee and local authorities on further steps and decision on the package (</w:t>
            </w:r>
            <w:r w:rsidR="002845F4">
              <w:t xml:space="preserve">for example, </w:t>
            </w:r>
            <w:r>
              <w:t xml:space="preserve">recommendation on rebidding). In case of rebidding with changing </w:t>
            </w:r>
            <w:r w:rsidR="002845F4">
              <w:t>(</w:t>
            </w:r>
            <w:r>
              <w:t>or without changing</w:t>
            </w:r>
            <w:r w:rsidR="002845F4">
              <w:t>)</w:t>
            </w:r>
            <w:r>
              <w:t xml:space="preserve"> the present design of new sanitary landfill, revision of the bidding documents and assist </w:t>
            </w:r>
            <w:r w:rsidR="00FA6406">
              <w:t>the Client/PIU</w:t>
            </w:r>
            <w:r>
              <w:t xml:space="preserve"> in review and approval of BD by the Tender Committee/ADB.</w:t>
            </w:r>
            <w:r w:rsidR="00FA6406">
              <w:t xml:space="preserve"> </w:t>
            </w:r>
          </w:p>
        </w:tc>
      </w:tr>
      <w:tr w:rsidR="004E30FF">
        <w:trPr>
          <w:trHeight w:val="66"/>
        </w:trPr>
        <w:tc>
          <w:tcPr>
            <w:tcW w:w="1747" w:type="dxa"/>
            <w:shd w:val="clear" w:color="auto" w:fill="auto"/>
          </w:tcPr>
          <w:p w:rsidR="004E30FF" w:rsidRDefault="004E30FF">
            <w:pPr>
              <w:spacing w:line="240" w:lineRule="auto"/>
            </w:pPr>
            <w:r>
              <w:t xml:space="preserve">CW2 </w:t>
            </w:r>
          </w:p>
        </w:tc>
        <w:tc>
          <w:tcPr>
            <w:tcW w:w="7771" w:type="dxa"/>
            <w:shd w:val="clear" w:color="auto" w:fill="auto"/>
          </w:tcPr>
          <w:p w:rsidR="004E30FF" w:rsidRDefault="00504BF6" w:rsidP="00504BF6">
            <w:pPr>
              <w:spacing w:line="240" w:lineRule="auto"/>
            </w:pPr>
            <w:r>
              <w:t>Support in completion of bid evaluation report and in negotiation/signing of contract, in case of no-objection of ADB/Tender Committee to contract award.</w:t>
            </w:r>
          </w:p>
        </w:tc>
      </w:tr>
      <w:tr w:rsidR="004E30FF">
        <w:trPr>
          <w:trHeight w:val="66"/>
        </w:trPr>
        <w:tc>
          <w:tcPr>
            <w:tcW w:w="1747" w:type="dxa"/>
            <w:tcBorders>
              <w:bottom w:val="single" w:sz="4" w:space="0" w:color="000000"/>
            </w:tcBorders>
            <w:shd w:val="clear" w:color="auto" w:fill="auto"/>
          </w:tcPr>
          <w:p w:rsidR="004E30FF" w:rsidRDefault="004E30FF">
            <w:pPr>
              <w:spacing w:line="240" w:lineRule="auto"/>
            </w:pPr>
            <w:r>
              <w:t>CW4</w:t>
            </w:r>
          </w:p>
        </w:tc>
        <w:tc>
          <w:tcPr>
            <w:tcW w:w="7771" w:type="dxa"/>
            <w:tcBorders>
              <w:bottom w:val="single" w:sz="4" w:space="0" w:color="000000"/>
            </w:tcBorders>
            <w:shd w:val="clear" w:color="auto" w:fill="auto"/>
          </w:tcPr>
          <w:p w:rsidR="004E30FF" w:rsidRDefault="008604AA" w:rsidP="00F7195B">
            <w:pPr>
              <w:spacing w:line="240" w:lineRule="auto"/>
            </w:pPr>
            <w:r>
              <w:t>Monitoring over civil works</w:t>
            </w:r>
            <w:r w:rsidR="00130730">
              <w:t xml:space="preserve"> and implementation </w:t>
            </w:r>
            <w:r w:rsidR="00AC5A7E">
              <w:t>of c</w:t>
            </w:r>
            <w:r w:rsidR="00130730">
              <w:t>ontract</w:t>
            </w:r>
            <w:r>
              <w:t xml:space="preserve">, assist </w:t>
            </w:r>
            <w:r w:rsidR="00FA6406">
              <w:t>the Client/PIU</w:t>
            </w:r>
            <w:r>
              <w:t xml:space="preserve"> in case of variation orders/amendment to </w:t>
            </w:r>
            <w:r w:rsidR="00F7195B">
              <w:t>the c</w:t>
            </w:r>
            <w:r>
              <w:t xml:space="preserve">ontract are required. </w:t>
            </w:r>
            <w:r w:rsidR="004E30FF">
              <w:t xml:space="preserve">  </w:t>
            </w:r>
          </w:p>
        </w:tc>
      </w:tr>
      <w:tr w:rsidR="004E30FF">
        <w:trPr>
          <w:trHeight w:val="66"/>
        </w:trPr>
        <w:tc>
          <w:tcPr>
            <w:tcW w:w="1747" w:type="dxa"/>
            <w:shd w:val="clear" w:color="auto" w:fill="BFBFBF"/>
          </w:tcPr>
          <w:p w:rsidR="004E30FF" w:rsidRDefault="004E30FF">
            <w:pPr>
              <w:spacing w:line="240" w:lineRule="auto"/>
            </w:pPr>
            <w:r>
              <w:rPr>
                <w:rStyle w:val="Strong1"/>
              </w:rPr>
              <w:t>SERVICES</w:t>
            </w:r>
          </w:p>
        </w:tc>
        <w:tc>
          <w:tcPr>
            <w:tcW w:w="7771" w:type="dxa"/>
            <w:shd w:val="clear" w:color="auto" w:fill="BFBFBF"/>
          </w:tcPr>
          <w:p w:rsidR="004E30FF" w:rsidRDefault="004E30FF">
            <w:pPr>
              <w:spacing w:line="240" w:lineRule="auto"/>
            </w:pPr>
            <w:r>
              <w:rPr>
                <w:rStyle w:val="Strong1"/>
              </w:rPr>
              <w:t>Description of activities</w:t>
            </w:r>
          </w:p>
        </w:tc>
      </w:tr>
      <w:tr w:rsidR="004E30FF">
        <w:trPr>
          <w:trHeight w:val="66"/>
        </w:trPr>
        <w:tc>
          <w:tcPr>
            <w:tcW w:w="1747" w:type="dxa"/>
            <w:shd w:val="clear" w:color="auto" w:fill="auto"/>
          </w:tcPr>
          <w:p w:rsidR="004E30FF" w:rsidRDefault="00F7195B">
            <w:pPr>
              <w:spacing w:line="240" w:lineRule="auto"/>
            </w:pPr>
            <w:r>
              <w:t>C2</w:t>
            </w:r>
          </w:p>
        </w:tc>
        <w:tc>
          <w:tcPr>
            <w:tcW w:w="7771" w:type="dxa"/>
            <w:shd w:val="clear" w:color="auto" w:fill="auto"/>
          </w:tcPr>
          <w:p w:rsidR="00F7195B" w:rsidRDefault="00F7195B" w:rsidP="009F5135">
            <w:pPr>
              <w:spacing w:line="240" w:lineRule="auto"/>
            </w:pPr>
            <w:r>
              <w:t xml:space="preserve">Support in finalization and signature of Contract amendment No. 2 re. </w:t>
            </w:r>
            <w:proofErr w:type="gramStart"/>
            <w:r>
              <w:t>reallocation</w:t>
            </w:r>
            <w:proofErr w:type="gramEnd"/>
            <w:r>
              <w:t xml:space="preserve"> of key staff input, extension of Service period and others. </w:t>
            </w:r>
            <w:r w:rsidR="00102470">
              <w:t xml:space="preserve">Assistance in communication, clarification requests and supporting documents with MIFT and ADB, as required. </w:t>
            </w:r>
          </w:p>
        </w:tc>
      </w:tr>
      <w:tr w:rsidR="004E30FF">
        <w:trPr>
          <w:trHeight w:val="66"/>
        </w:trPr>
        <w:tc>
          <w:tcPr>
            <w:tcW w:w="1747" w:type="dxa"/>
            <w:shd w:val="clear" w:color="auto" w:fill="auto"/>
          </w:tcPr>
          <w:p w:rsidR="004E30FF" w:rsidRDefault="00102470">
            <w:pPr>
              <w:spacing w:line="240" w:lineRule="auto"/>
            </w:pPr>
            <w:r>
              <w:t>C6</w:t>
            </w:r>
          </w:p>
        </w:tc>
        <w:tc>
          <w:tcPr>
            <w:tcW w:w="7771" w:type="dxa"/>
            <w:shd w:val="clear" w:color="auto" w:fill="auto"/>
          </w:tcPr>
          <w:p w:rsidR="004E30FF" w:rsidRPr="005127DB" w:rsidRDefault="00102470" w:rsidP="00FA6406">
            <w:pPr>
              <w:pStyle w:val="ListParagraph1"/>
              <w:spacing w:before="0" w:after="0" w:line="240" w:lineRule="auto"/>
            </w:pPr>
            <w:r>
              <w:t xml:space="preserve">Monitoring over audit services and implementation of contract, assist </w:t>
            </w:r>
            <w:r w:rsidR="00FA6406">
              <w:t xml:space="preserve">the Client/PIU </w:t>
            </w:r>
            <w:r>
              <w:t xml:space="preserve">in case of amendment to the contract </w:t>
            </w:r>
            <w:r w:rsidR="005547A4">
              <w:t>is</w:t>
            </w:r>
            <w:r>
              <w:t xml:space="preserve"> required. </w:t>
            </w:r>
          </w:p>
        </w:tc>
      </w:tr>
      <w:tr w:rsidR="004E30FF">
        <w:trPr>
          <w:trHeight w:val="66"/>
        </w:trPr>
        <w:tc>
          <w:tcPr>
            <w:tcW w:w="1747" w:type="dxa"/>
            <w:shd w:val="clear" w:color="auto" w:fill="auto"/>
          </w:tcPr>
          <w:p w:rsidR="00670259" w:rsidRDefault="005547A4">
            <w:pPr>
              <w:spacing w:line="240" w:lineRule="auto"/>
            </w:pPr>
            <w:r>
              <w:t>C7</w:t>
            </w:r>
          </w:p>
        </w:tc>
        <w:tc>
          <w:tcPr>
            <w:tcW w:w="7771" w:type="dxa"/>
            <w:shd w:val="clear" w:color="auto" w:fill="auto"/>
          </w:tcPr>
          <w:p w:rsidR="007F24F1" w:rsidRPr="005547A4" w:rsidRDefault="005547A4" w:rsidP="009F5135">
            <w:pPr>
              <w:spacing w:line="240" w:lineRule="auto"/>
              <w:rPr>
                <w:rFonts w:cs="Calibri"/>
              </w:rPr>
            </w:pPr>
            <w:r>
              <w:t xml:space="preserve">Monitoring over works supervision services and implementation of contract, in case of contract award and commencement of the works under package CW2 – TS Rehabilitation. Assistance to </w:t>
            </w:r>
            <w:r w:rsidR="00FA6406">
              <w:t>the Client/PIU</w:t>
            </w:r>
            <w:r>
              <w:t xml:space="preserve"> in case of amendment to the contract is required.</w:t>
            </w:r>
          </w:p>
        </w:tc>
      </w:tr>
      <w:tr w:rsidR="005547A4" w:rsidTr="005547A4">
        <w:trPr>
          <w:trHeight w:val="66"/>
        </w:trPr>
        <w:tc>
          <w:tcPr>
            <w:tcW w:w="1747" w:type="dxa"/>
            <w:shd w:val="clear" w:color="auto" w:fill="auto"/>
          </w:tcPr>
          <w:p w:rsidR="005547A4" w:rsidRDefault="005547A4" w:rsidP="00B0693A">
            <w:pPr>
              <w:spacing w:line="240" w:lineRule="auto"/>
            </w:pPr>
            <w:r>
              <w:t>C8</w:t>
            </w:r>
          </w:p>
        </w:tc>
        <w:tc>
          <w:tcPr>
            <w:tcW w:w="7771" w:type="dxa"/>
            <w:shd w:val="clear" w:color="auto" w:fill="auto"/>
          </w:tcPr>
          <w:p w:rsidR="005547A4" w:rsidRDefault="005547A4" w:rsidP="005547A4">
            <w:pPr>
              <w:spacing w:line="240" w:lineRule="auto"/>
            </w:pPr>
            <w:r>
              <w:t xml:space="preserve">Monitoring over the on-going works supervision services and implementation of contract. The civil works are in progress under package CW4 – Garage Rehabilitation. Assistance to </w:t>
            </w:r>
            <w:r w:rsidR="00FA6406">
              <w:t>the Client/PIU</w:t>
            </w:r>
            <w:r>
              <w:t xml:space="preserve"> in case of amendment to the contract is required.</w:t>
            </w:r>
          </w:p>
        </w:tc>
      </w:tr>
    </w:tbl>
    <w:p w:rsidR="005547A4" w:rsidRDefault="005547A4" w:rsidP="007A51A9">
      <w:pPr>
        <w:pStyle w:val="2"/>
        <w:numPr>
          <w:ilvl w:val="0"/>
          <w:numId w:val="0"/>
        </w:numPr>
        <w:spacing w:before="0"/>
      </w:pPr>
    </w:p>
    <w:p w:rsidR="005547A4" w:rsidRDefault="005547A4" w:rsidP="005547A4">
      <w:pPr>
        <w:pStyle w:val="2"/>
        <w:numPr>
          <w:ilvl w:val="0"/>
          <w:numId w:val="0"/>
        </w:numPr>
        <w:spacing w:before="0"/>
        <w:ind w:left="576"/>
      </w:pPr>
    </w:p>
    <w:p w:rsidR="004E30FF" w:rsidRDefault="004E30FF">
      <w:pPr>
        <w:pStyle w:val="2"/>
        <w:numPr>
          <w:ilvl w:val="1"/>
          <w:numId w:val="5"/>
        </w:numPr>
        <w:spacing w:before="0"/>
      </w:pPr>
      <w:bookmarkStart w:id="30" w:name="_Toc64301510"/>
      <w:r>
        <w:t xml:space="preserve">Construction Supervision </w:t>
      </w:r>
      <w:r w:rsidR="00963F9E">
        <w:t xml:space="preserve">&amp; </w:t>
      </w:r>
      <w:r>
        <w:t>Monitoring (TOR Task c)</w:t>
      </w:r>
      <w:bookmarkEnd w:id="30"/>
    </w:p>
    <w:p w:rsidR="004E30FF" w:rsidRDefault="004E30FF">
      <w:pPr>
        <w:spacing w:line="240" w:lineRule="auto"/>
        <w:rPr>
          <w:lang w:eastAsia="es-ES"/>
        </w:rPr>
      </w:pPr>
    </w:p>
    <w:p w:rsidR="00227A2C" w:rsidRDefault="00B26300">
      <w:pPr>
        <w:spacing w:line="240" w:lineRule="auto"/>
        <w:rPr>
          <w:lang w:eastAsia="es-ES"/>
        </w:rPr>
      </w:pPr>
      <w:r>
        <w:rPr>
          <w:lang w:eastAsia="es-ES"/>
        </w:rPr>
        <w:t xml:space="preserve">Continuation of construction supervision and monitoring services related to the on-going works contract CW4 – Garage Rehabilitation. Starting of supervision over mobilization by the Contractor, in case of contract award and signing under the package CW2 – Transfer Station Rehabilitation. </w:t>
      </w:r>
    </w:p>
    <w:p w:rsidR="00227A2C" w:rsidRDefault="00227A2C">
      <w:pPr>
        <w:spacing w:line="240" w:lineRule="auto"/>
        <w:rPr>
          <w:lang w:eastAsia="es-ES"/>
        </w:rPr>
      </w:pPr>
    </w:p>
    <w:p w:rsidR="00B26300" w:rsidRDefault="00B26300">
      <w:pPr>
        <w:spacing w:line="240" w:lineRule="auto"/>
        <w:rPr>
          <w:lang w:eastAsia="es-ES"/>
        </w:rPr>
      </w:pPr>
      <w:r>
        <w:rPr>
          <w:lang w:eastAsia="es-ES"/>
        </w:rPr>
        <w:t xml:space="preserve">Communication and coordination with all Project stakeholders, including but not limited with Civil Engineer of Maxsustrans and Project Manager of the Design and Supervision Consultant (Quality Planning LLC) responsible for supervision and management of the works contracts CW2 and CW4. </w:t>
      </w:r>
    </w:p>
    <w:p w:rsidR="00B26300" w:rsidRDefault="00B26300">
      <w:pPr>
        <w:spacing w:line="240" w:lineRule="auto"/>
        <w:rPr>
          <w:lang w:eastAsia="es-ES"/>
        </w:rPr>
      </w:pPr>
    </w:p>
    <w:p w:rsidR="00B26300" w:rsidRDefault="00B26300">
      <w:pPr>
        <w:spacing w:line="240" w:lineRule="auto"/>
        <w:rPr>
          <w:lang w:eastAsia="es-ES"/>
        </w:rPr>
      </w:pPr>
      <w:r>
        <w:rPr>
          <w:lang w:eastAsia="es-ES"/>
        </w:rPr>
        <w:t xml:space="preserve">Site supervision and monitoring over construction and other activities of the contractors and Project Manager, including progress reporting and monitoring on safeguard issues. </w:t>
      </w:r>
    </w:p>
    <w:p w:rsidR="004E30FF" w:rsidRDefault="004E30FF">
      <w:pPr>
        <w:pStyle w:val="2"/>
        <w:numPr>
          <w:ilvl w:val="1"/>
          <w:numId w:val="5"/>
        </w:numPr>
        <w:spacing w:before="0"/>
      </w:pPr>
      <w:bookmarkStart w:id="31" w:name="_Toc64301511"/>
      <w:r>
        <w:lastRenderedPageBreak/>
        <w:t>Contract Administration (TOR Task D)</w:t>
      </w:r>
      <w:bookmarkEnd w:id="31"/>
    </w:p>
    <w:p w:rsidR="004E30FF" w:rsidRDefault="004E30FF">
      <w:pPr>
        <w:spacing w:line="240" w:lineRule="auto"/>
        <w:rPr>
          <w:highlight w:val="yellow"/>
          <w:lang w:eastAsia="es-ES"/>
        </w:rPr>
      </w:pPr>
    </w:p>
    <w:p w:rsidR="004E30FF" w:rsidRDefault="00CC42DA">
      <w:pPr>
        <w:spacing w:line="240" w:lineRule="auto"/>
      </w:pPr>
      <w:r>
        <w:rPr>
          <w:lang w:eastAsia="es-ES"/>
        </w:rPr>
        <w:t>The Consultant will assist</w:t>
      </w:r>
      <w:r w:rsidR="004E30FF">
        <w:rPr>
          <w:lang w:eastAsia="es-ES"/>
        </w:rPr>
        <w:t xml:space="preserve"> </w:t>
      </w:r>
      <w:r w:rsidR="00FA6406">
        <w:t xml:space="preserve">the Client/PIU </w:t>
      </w:r>
      <w:r w:rsidR="004E30FF">
        <w:rPr>
          <w:lang w:eastAsia="es-ES"/>
        </w:rPr>
        <w:t xml:space="preserve">in </w:t>
      </w:r>
      <w:r>
        <w:rPr>
          <w:lang w:eastAsia="es-ES"/>
        </w:rPr>
        <w:t xml:space="preserve">further </w:t>
      </w:r>
      <w:r w:rsidR="004E30FF">
        <w:rPr>
          <w:lang w:eastAsia="es-ES"/>
        </w:rPr>
        <w:t>administration of the Goods, Works and Services contracts listed below:</w:t>
      </w:r>
    </w:p>
    <w:p w:rsidR="004E30FF" w:rsidRDefault="004E30FF">
      <w:pPr>
        <w:spacing w:line="240" w:lineRule="auto"/>
        <w:rPr>
          <w:lang w:eastAsia="es-ES"/>
        </w:rPr>
      </w:pPr>
    </w:p>
    <w:tbl>
      <w:tblPr>
        <w:tblW w:w="0" w:type="auto"/>
        <w:tblInd w:w="109" w:type="dxa"/>
        <w:tblLayout w:type="fixed"/>
        <w:tblLook w:val="0000"/>
      </w:tblPr>
      <w:tblGrid>
        <w:gridCol w:w="1747"/>
        <w:gridCol w:w="7771"/>
      </w:tblGrid>
      <w:tr w:rsidR="00CC42DA" w:rsidTr="00B0693A">
        <w:tc>
          <w:tcPr>
            <w:tcW w:w="1747" w:type="dxa"/>
            <w:shd w:val="clear" w:color="auto" w:fill="BFBFBF"/>
          </w:tcPr>
          <w:p w:rsidR="00CC42DA" w:rsidRDefault="00CC42DA" w:rsidP="00B0693A">
            <w:pPr>
              <w:spacing w:line="240" w:lineRule="auto"/>
            </w:pPr>
            <w:r>
              <w:rPr>
                <w:rStyle w:val="Strong1"/>
              </w:rPr>
              <w:t>GOODS</w:t>
            </w:r>
          </w:p>
        </w:tc>
        <w:tc>
          <w:tcPr>
            <w:tcW w:w="7771" w:type="dxa"/>
            <w:shd w:val="clear" w:color="auto" w:fill="BFBFBF"/>
          </w:tcPr>
          <w:p w:rsidR="00CC42DA" w:rsidRDefault="00CC42DA" w:rsidP="00B0693A">
            <w:pPr>
              <w:spacing w:line="240" w:lineRule="auto"/>
            </w:pPr>
            <w:r>
              <w:rPr>
                <w:rStyle w:val="Strong1"/>
              </w:rPr>
              <w:t>Description of activities</w:t>
            </w:r>
          </w:p>
        </w:tc>
      </w:tr>
      <w:tr w:rsidR="00CC42DA" w:rsidTr="00B0693A">
        <w:tc>
          <w:tcPr>
            <w:tcW w:w="1747" w:type="dxa"/>
            <w:shd w:val="clear" w:color="auto" w:fill="auto"/>
          </w:tcPr>
          <w:p w:rsidR="00CC42DA" w:rsidRDefault="00CC42DA" w:rsidP="00B0693A">
            <w:pPr>
              <w:spacing w:line="240" w:lineRule="auto"/>
            </w:pPr>
            <w:r>
              <w:t>G1 (Lot 1 and 2)</w:t>
            </w:r>
          </w:p>
        </w:tc>
        <w:tc>
          <w:tcPr>
            <w:tcW w:w="7771" w:type="dxa"/>
            <w:shd w:val="clear" w:color="auto" w:fill="auto"/>
          </w:tcPr>
          <w:p w:rsidR="00CC42DA" w:rsidRDefault="00377481" w:rsidP="00377481">
            <w:pPr>
              <w:pStyle w:val="ListParagraph1"/>
              <w:spacing w:before="0" w:after="0" w:line="240" w:lineRule="auto"/>
            </w:pPr>
            <w:r>
              <w:t xml:space="preserve">Administration of timely and properly </w:t>
            </w:r>
            <w:r w:rsidR="00CC42DA">
              <w:t xml:space="preserve">completion of supply of Goods and Related Services, final commissioning, preparation of documents for completion of the Contracts. Disbursement and withdrawal applications for interim and final payments to the Supplier acc. to contracts. Communication with banks issued the Letter of Credit under the Contracts. </w:t>
            </w:r>
          </w:p>
        </w:tc>
      </w:tr>
      <w:tr w:rsidR="00CC42DA" w:rsidTr="00B0693A">
        <w:trPr>
          <w:trHeight w:val="57"/>
        </w:trPr>
        <w:tc>
          <w:tcPr>
            <w:tcW w:w="1747" w:type="dxa"/>
            <w:shd w:val="clear" w:color="auto" w:fill="BFBFBF"/>
          </w:tcPr>
          <w:p w:rsidR="00CC42DA" w:rsidRDefault="00CC42DA" w:rsidP="00B0693A">
            <w:pPr>
              <w:spacing w:line="240" w:lineRule="auto"/>
            </w:pPr>
            <w:r>
              <w:rPr>
                <w:rStyle w:val="Strong1"/>
              </w:rPr>
              <w:t>WORKS</w:t>
            </w:r>
          </w:p>
        </w:tc>
        <w:tc>
          <w:tcPr>
            <w:tcW w:w="7771" w:type="dxa"/>
            <w:shd w:val="clear" w:color="auto" w:fill="BFBFBF"/>
          </w:tcPr>
          <w:p w:rsidR="00CC42DA" w:rsidRDefault="00CC42DA" w:rsidP="00B0693A">
            <w:pPr>
              <w:spacing w:line="240" w:lineRule="auto"/>
            </w:pPr>
            <w:r>
              <w:rPr>
                <w:rStyle w:val="Strong1"/>
              </w:rPr>
              <w:t>Description of activities</w:t>
            </w:r>
          </w:p>
        </w:tc>
      </w:tr>
      <w:tr w:rsidR="00CC42DA" w:rsidTr="00B0693A">
        <w:trPr>
          <w:trHeight w:val="66"/>
        </w:trPr>
        <w:tc>
          <w:tcPr>
            <w:tcW w:w="1747" w:type="dxa"/>
            <w:shd w:val="clear" w:color="auto" w:fill="auto"/>
          </w:tcPr>
          <w:p w:rsidR="00CC42DA" w:rsidRDefault="00CC42DA" w:rsidP="00B0693A">
            <w:pPr>
              <w:spacing w:line="240" w:lineRule="auto"/>
            </w:pPr>
            <w:r>
              <w:t xml:space="preserve">CW2 </w:t>
            </w:r>
          </w:p>
        </w:tc>
        <w:tc>
          <w:tcPr>
            <w:tcW w:w="7771" w:type="dxa"/>
            <w:shd w:val="clear" w:color="auto" w:fill="auto"/>
          </w:tcPr>
          <w:p w:rsidR="00CC42DA" w:rsidRDefault="00EF38C9" w:rsidP="00EF38C9">
            <w:pPr>
              <w:spacing w:line="240" w:lineRule="auto"/>
            </w:pPr>
            <w:r>
              <w:t>In case of no-objection by ADB/Tender Committee, administration of contract negotiation and preparation of minutes of meeting, finalization of contract terms and conditions including advance payment, works mobilization and implementation schedule. Assistance to Contract and Client in initial phase of the contract/civil works.</w:t>
            </w:r>
          </w:p>
        </w:tc>
      </w:tr>
      <w:tr w:rsidR="00CC42DA" w:rsidTr="00B0693A">
        <w:trPr>
          <w:trHeight w:val="66"/>
        </w:trPr>
        <w:tc>
          <w:tcPr>
            <w:tcW w:w="1747" w:type="dxa"/>
            <w:tcBorders>
              <w:bottom w:val="single" w:sz="4" w:space="0" w:color="000000"/>
            </w:tcBorders>
            <w:shd w:val="clear" w:color="auto" w:fill="auto"/>
          </w:tcPr>
          <w:p w:rsidR="00CC42DA" w:rsidRDefault="00CC42DA" w:rsidP="00B0693A">
            <w:pPr>
              <w:spacing w:line="240" w:lineRule="auto"/>
            </w:pPr>
            <w:r>
              <w:t>CW4</w:t>
            </w:r>
          </w:p>
        </w:tc>
        <w:tc>
          <w:tcPr>
            <w:tcW w:w="7771" w:type="dxa"/>
            <w:tcBorders>
              <w:bottom w:val="single" w:sz="4" w:space="0" w:color="000000"/>
            </w:tcBorders>
            <w:shd w:val="clear" w:color="auto" w:fill="auto"/>
          </w:tcPr>
          <w:p w:rsidR="00CC42DA" w:rsidRDefault="00EF38C9" w:rsidP="00B0693A">
            <w:pPr>
              <w:spacing w:line="240" w:lineRule="auto"/>
            </w:pPr>
            <w:r>
              <w:t xml:space="preserve">Current disbursements and preparation of withdrawal applications for interim payments to Contractor. Cash flow plan for further period of construction works and close monitoring over fulfillment of disbursement plan to ensure the CAD projections. Assistance in variation orders/amendments to the contract, when as </w:t>
            </w:r>
            <w:proofErr w:type="spellStart"/>
            <w:r>
              <w:t>as</w:t>
            </w:r>
            <w:proofErr w:type="spellEnd"/>
            <w:r>
              <w:t xml:space="preserve"> needed. </w:t>
            </w:r>
            <w:r w:rsidR="00CC42DA">
              <w:t xml:space="preserve"> </w:t>
            </w:r>
          </w:p>
        </w:tc>
      </w:tr>
      <w:tr w:rsidR="00CC42DA" w:rsidTr="00B0693A">
        <w:trPr>
          <w:trHeight w:val="66"/>
        </w:trPr>
        <w:tc>
          <w:tcPr>
            <w:tcW w:w="1747" w:type="dxa"/>
            <w:shd w:val="clear" w:color="auto" w:fill="BFBFBF"/>
          </w:tcPr>
          <w:p w:rsidR="00CC42DA" w:rsidRDefault="00CC42DA" w:rsidP="00B0693A">
            <w:pPr>
              <w:spacing w:line="240" w:lineRule="auto"/>
            </w:pPr>
            <w:r>
              <w:rPr>
                <w:rStyle w:val="Strong1"/>
              </w:rPr>
              <w:t>SERVICES</w:t>
            </w:r>
          </w:p>
        </w:tc>
        <w:tc>
          <w:tcPr>
            <w:tcW w:w="7771" w:type="dxa"/>
            <w:shd w:val="clear" w:color="auto" w:fill="BFBFBF"/>
          </w:tcPr>
          <w:p w:rsidR="00CC42DA" w:rsidRDefault="00CC42DA" w:rsidP="00B0693A">
            <w:pPr>
              <w:spacing w:line="240" w:lineRule="auto"/>
            </w:pPr>
            <w:r>
              <w:rPr>
                <w:rStyle w:val="Strong1"/>
              </w:rPr>
              <w:t>Description of activities</w:t>
            </w:r>
          </w:p>
        </w:tc>
      </w:tr>
      <w:tr w:rsidR="00CC42DA" w:rsidTr="00B0693A">
        <w:trPr>
          <w:trHeight w:val="66"/>
        </w:trPr>
        <w:tc>
          <w:tcPr>
            <w:tcW w:w="1747" w:type="dxa"/>
            <w:shd w:val="clear" w:color="auto" w:fill="auto"/>
          </w:tcPr>
          <w:p w:rsidR="00CC42DA" w:rsidRDefault="00CC42DA" w:rsidP="00B0693A">
            <w:pPr>
              <w:spacing w:line="240" w:lineRule="auto"/>
            </w:pPr>
            <w:r>
              <w:t>C2</w:t>
            </w:r>
          </w:p>
        </w:tc>
        <w:tc>
          <w:tcPr>
            <w:tcW w:w="7771" w:type="dxa"/>
            <w:shd w:val="clear" w:color="auto" w:fill="auto"/>
          </w:tcPr>
          <w:p w:rsidR="00CC42DA" w:rsidRDefault="00CC42DA" w:rsidP="00FA6406">
            <w:pPr>
              <w:spacing w:line="240" w:lineRule="auto"/>
            </w:pPr>
            <w:r>
              <w:t>Support in finalization and signature of Contract amendment No. 2 re</w:t>
            </w:r>
            <w:r w:rsidR="00FA6406">
              <w:t xml:space="preserve">garding </w:t>
            </w:r>
            <w:r>
              <w:t>reallocation of key staff input, extension of Service period and others. Assistance in communication, clarification requests and supporting documents with MIFT and ADB, as required.</w:t>
            </w:r>
            <w:r w:rsidR="0089324C">
              <w:t xml:space="preserve"> Further disbursements to Consultant after signing Amendment No. 2 and close monitoring over further works supervision services in case of works commencement under the package CW1.</w:t>
            </w:r>
            <w:r>
              <w:t xml:space="preserve"> </w:t>
            </w:r>
          </w:p>
        </w:tc>
      </w:tr>
      <w:tr w:rsidR="00CC42DA" w:rsidTr="00B0693A">
        <w:trPr>
          <w:trHeight w:val="66"/>
        </w:trPr>
        <w:tc>
          <w:tcPr>
            <w:tcW w:w="1747" w:type="dxa"/>
            <w:shd w:val="clear" w:color="auto" w:fill="auto"/>
          </w:tcPr>
          <w:p w:rsidR="00CC42DA" w:rsidRDefault="00CC42DA" w:rsidP="00B0693A">
            <w:pPr>
              <w:spacing w:line="240" w:lineRule="auto"/>
            </w:pPr>
            <w:r>
              <w:t>C6</w:t>
            </w:r>
          </w:p>
        </w:tc>
        <w:tc>
          <w:tcPr>
            <w:tcW w:w="7771" w:type="dxa"/>
            <w:shd w:val="clear" w:color="auto" w:fill="auto"/>
          </w:tcPr>
          <w:p w:rsidR="00CC42DA" w:rsidRPr="005127DB" w:rsidRDefault="00CC42DA" w:rsidP="00B0693A">
            <w:pPr>
              <w:pStyle w:val="ListParagraph1"/>
              <w:spacing w:before="0" w:after="0" w:line="240" w:lineRule="auto"/>
            </w:pPr>
            <w:r>
              <w:t xml:space="preserve">Monitoring over audit services and implementation of contract, assist </w:t>
            </w:r>
            <w:r w:rsidR="00FA6406">
              <w:t xml:space="preserve">the Client/PIU </w:t>
            </w:r>
            <w:r>
              <w:t xml:space="preserve">in case of amendment to the contract is required. </w:t>
            </w:r>
            <w:r w:rsidR="0029350F">
              <w:t>Further disbursements to audit company (BDO Tajikistan) based on acceptable service statement and supporting documents for reimbursement</w:t>
            </w:r>
            <w:r w:rsidR="001D111A">
              <w:t xml:space="preserve"> of the provided services</w:t>
            </w:r>
            <w:r w:rsidR="0029350F">
              <w:t xml:space="preserve">. </w:t>
            </w:r>
          </w:p>
        </w:tc>
      </w:tr>
      <w:tr w:rsidR="00CC42DA" w:rsidTr="00B0693A">
        <w:trPr>
          <w:trHeight w:val="66"/>
        </w:trPr>
        <w:tc>
          <w:tcPr>
            <w:tcW w:w="1747" w:type="dxa"/>
            <w:shd w:val="clear" w:color="auto" w:fill="auto"/>
          </w:tcPr>
          <w:p w:rsidR="00CC42DA" w:rsidRDefault="00CC42DA" w:rsidP="00B0693A">
            <w:pPr>
              <w:spacing w:line="240" w:lineRule="auto"/>
            </w:pPr>
            <w:r>
              <w:t>C7</w:t>
            </w:r>
          </w:p>
        </w:tc>
        <w:tc>
          <w:tcPr>
            <w:tcW w:w="7771" w:type="dxa"/>
            <w:shd w:val="clear" w:color="auto" w:fill="auto"/>
          </w:tcPr>
          <w:p w:rsidR="00CC42DA" w:rsidRPr="005547A4" w:rsidRDefault="00CC42DA" w:rsidP="00EA038C">
            <w:pPr>
              <w:spacing w:line="240" w:lineRule="auto"/>
              <w:rPr>
                <w:rFonts w:cs="Calibri"/>
              </w:rPr>
            </w:pPr>
            <w:r>
              <w:t xml:space="preserve">Monitoring over works supervision services and implementation of contract, in case of contract award and commencement of the works under package CW2 – TS Rehabilitation. Assistance to </w:t>
            </w:r>
            <w:r w:rsidR="00FA6406">
              <w:t>the Client/PIU</w:t>
            </w:r>
            <w:r>
              <w:t xml:space="preserve"> in case of amendment to the contract</w:t>
            </w:r>
            <w:r w:rsidR="00EA038C">
              <w:t xml:space="preserve"> is required</w:t>
            </w:r>
            <w:r>
              <w:t>.</w:t>
            </w:r>
            <w:r w:rsidR="001D111A">
              <w:t xml:space="preserve"> Further disbursements to </w:t>
            </w:r>
            <w:r w:rsidR="00EA038C">
              <w:t>the Design and Supervision Consultant (Quality Planning LLC)</w:t>
            </w:r>
            <w:r w:rsidR="001D111A">
              <w:t xml:space="preserve"> based on acceptable service statement and supporting documents for reimbursement of the provided services.</w:t>
            </w:r>
          </w:p>
        </w:tc>
      </w:tr>
      <w:tr w:rsidR="00CC42DA" w:rsidTr="00B0693A">
        <w:trPr>
          <w:trHeight w:val="66"/>
        </w:trPr>
        <w:tc>
          <w:tcPr>
            <w:tcW w:w="1747" w:type="dxa"/>
            <w:shd w:val="clear" w:color="auto" w:fill="auto"/>
          </w:tcPr>
          <w:p w:rsidR="00CC42DA" w:rsidRDefault="00CC42DA" w:rsidP="00B0693A">
            <w:pPr>
              <w:spacing w:line="240" w:lineRule="auto"/>
            </w:pPr>
            <w:r>
              <w:t>C8</w:t>
            </w:r>
          </w:p>
        </w:tc>
        <w:tc>
          <w:tcPr>
            <w:tcW w:w="7771" w:type="dxa"/>
            <w:shd w:val="clear" w:color="auto" w:fill="auto"/>
          </w:tcPr>
          <w:p w:rsidR="00CC42DA" w:rsidRDefault="00CC42DA" w:rsidP="00FA6406">
            <w:pPr>
              <w:spacing w:line="240" w:lineRule="auto"/>
            </w:pPr>
            <w:r>
              <w:t xml:space="preserve">Monitoring over the on-going works supervision services and implementation of contract. The civil works are in progress under package CW4 – Garage Rehabilitation. Assistance to </w:t>
            </w:r>
            <w:r w:rsidR="00FA6406">
              <w:t>the Client/</w:t>
            </w:r>
            <w:r>
              <w:t>PIU in case of amendment to the contract is required.</w:t>
            </w:r>
            <w:r w:rsidR="001D111A">
              <w:t xml:space="preserve"> </w:t>
            </w:r>
            <w:r w:rsidR="00EA038C">
              <w:t>Further disbursements to the Design and Supervision Consultant (Quality Planning LLC) based on acceptable service statement and supporting documents for reimbursement of the provided services.</w:t>
            </w:r>
          </w:p>
        </w:tc>
      </w:tr>
    </w:tbl>
    <w:p w:rsidR="004E30FF" w:rsidRDefault="004E30FF">
      <w:pPr>
        <w:rPr>
          <w:lang w:eastAsia="es-ES"/>
        </w:rPr>
      </w:pPr>
    </w:p>
    <w:p w:rsidR="004E30FF" w:rsidRDefault="004E30FF">
      <w:pPr>
        <w:spacing w:line="240" w:lineRule="auto"/>
        <w:jc w:val="left"/>
      </w:pPr>
    </w:p>
    <w:p w:rsidR="007E0A1B" w:rsidRDefault="007E0A1B">
      <w:pPr>
        <w:spacing w:line="240" w:lineRule="auto"/>
        <w:jc w:val="left"/>
      </w:pPr>
    </w:p>
    <w:p w:rsidR="007E0A1B" w:rsidRDefault="007E0A1B">
      <w:pPr>
        <w:spacing w:line="240" w:lineRule="auto"/>
        <w:jc w:val="left"/>
      </w:pPr>
    </w:p>
    <w:p w:rsidR="007E0A1B" w:rsidRDefault="007E0A1B">
      <w:pPr>
        <w:spacing w:line="240" w:lineRule="auto"/>
        <w:jc w:val="left"/>
      </w:pPr>
    </w:p>
    <w:p w:rsidR="007E0A1B" w:rsidRDefault="007E0A1B">
      <w:pPr>
        <w:spacing w:line="240" w:lineRule="auto"/>
        <w:jc w:val="left"/>
      </w:pPr>
    </w:p>
    <w:p w:rsidR="007E0A1B" w:rsidRDefault="007E0A1B">
      <w:pPr>
        <w:spacing w:line="240" w:lineRule="auto"/>
        <w:jc w:val="left"/>
      </w:pPr>
    </w:p>
    <w:p w:rsidR="007E0A1B" w:rsidRPr="00FA6406" w:rsidRDefault="007E0A1B">
      <w:pPr>
        <w:spacing w:line="240" w:lineRule="auto"/>
        <w:jc w:val="left"/>
      </w:pPr>
    </w:p>
    <w:p w:rsidR="004E30FF" w:rsidRPr="00FA6406" w:rsidRDefault="004E30FF">
      <w:pPr>
        <w:pStyle w:val="2"/>
        <w:numPr>
          <w:ilvl w:val="1"/>
          <w:numId w:val="5"/>
        </w:numPr>
        <w:spacing w:before="0"/>
      </w:pPr>
      <w:bookmarkStart w:id="32" w:name="_Toc64301512"/>
      <w:r w:rsidRPr="00FA6406">
        <w:lastRenderedPageBreak/>
        <w:t>Safeguards Implementation, Monitoring and Evaluation (TOR Task E)</w:t>
      </w:r>
      <w:bookmarkEnd w:id="32"/>
    </w:p>
    <w:p w:rsidR="004E30FF" w:rsidRPr="00FA6406" w:rsidRDefault="004E30FF">
      <w:pPr>
        <w:spacing w:line="240" w:lineRule="auto"/>
      </w:pPr>
    </w:p>
    <w:p w:rsidR="0044514D" w:rsidRDefault="004E30FF">
      <w:pPr>
        <w:spacing w:line="240" w:lineRule="auto"/>
      </w:pPr>
      <w:r w:rsidRPr="00FA6406">
        <w:t>The Consultant will continue to assist the Client</w:t>
      </w:r>
      <w:r w:rsidR="0044514D">
        <w:t xml:space="preserve"> and </w:t>
      </w:r>
      <w:r w:rsidRPr="00FA6406">
        <w:t xml:space="preserve">PIU with the monitoring of safeguard issues under the Project. This activity will cover monitoring of compliancy to the environmental and social safeguard policy of ADB. </w:t>
      </w:r>
      <w:r w:rsidR="00231A1C" w:rsidRPr="00FA6406">
        <w:t xml:space="preserve">The Consultant will assist the Client and PIU in the awareness of the environmental and social risks that may potential impacted by the project development activities. </w:t>
      </w:r>
    </w:p>
    <w:p w:rsidR="0044514D" w:rsidRDefault="0044514D">
      <w:pPr>
        <w:spacing w:line="240" w:lineRule="auto"/>
      </w:pPr>
    </w:p>
    <w:p w:rsidR="004E30FF" w:rsidRDefault="008E79F8">
      <w:pPr>
        <w:spacing w:line="240" w:lineRule="auto"/>
      </w:pPr>
      <w:r w:rsidRPr="00FA6406">
        <w:t>To be noted that s</w:t>
      </w:r>
      <w:r w:rsidR="004E30FF" w:rsidRPr="00FA6406">
        <w:t xml:space="preserve">ocial safeguard monitoring means monitoring of </w:t>
      </w:r>
      <w:r w:rsidR="004E30FF" w:rsidRPr="00FA6406">
        <w:rPr>
          <w:lang w:eastAsia="de-DE"/>
        </w:rPr>
        <w:t>Land Acquisition and Resettlement Plan</w:t>
      </w:r>
      <w:r w:rsidR="008755CB" w:rsidRPr="00FA6406">
        <w:t xml:space="preserve"> of the Project, in particular </w:t>
      </w:r>
      <w:r w:rsidR="004E30FF" w:rsidRPr="00FA6406">
        <w:t xml:space="preserve">all aspects and progress with land acquisition for new landfill site as explained </w:t>
      </w:r>
      <w:r w:rsidRPr="00FA6406">
        <w:t>in items above.</w:t>
      </w:r>
      <w:r w:rsidR="0044514D">
        <w:t xml:space="preserve"> If the Project will be re-classified from the IR category B to C, and ADB will approve this, the monitoring of LARP will be </w:t>
      </w:r>
      <w:r w:rsidR="00130B3D">
        <w:t>stopped</w:t>
      </w:r>
      <w:r w:rsidR="0044514D">
        <w:t>.</w:t>
      </w:r>
      <w:r w:rsidR="00535228" w:rsidRPr="00FA6406">
        <w:t xml:space="preserve"> </w:t>
      </w:r>
      <w:r w:rsidR="0044514D">
        <w:t xml:space="preserve">However, the next monitoring step is </w:t>
      </w:r>
      <w:r w:rsidR="0044514D" w:rsidRPr="0044514D">
        <w:t xml:space="preserve">development of indicators for social monitoring </w:t>
      </w:r>
      <w:r w:rsidR="0044514D">
        <w:t>during the construction phase (CW1 package).</w:t>
      </w:r>
      <w:r w:rsidR="0044514D" w:rsidRPr="0044514D">
        <w:t xml:space="preserve"> </w:t>
      </w:r>
      <w:r w:rsidR="0044514D">
        <w:t xml:space="preserve">Tasks for </w:t>
      </w:r>
      <w:r w:rsidR="0044514D" w:rsidRPr="0044514D">
        <w:t>social safety at the construction site are included in</w:t>
      </w:r>
      <w:r w:rsidR="0044514D">
        <w:t xml:space="preserve"> </w:t>
      </w:r>
      <w:r w:rsidR="0044514D" w:rsidRPr="0044514D">
        <w:t>the scope of wo</w:t>
      </w:r>
      <w:r w:rsidR="0044514D">
        <w:t>rks for the CW1-C</w:t>
      </w:r>
      <w:r w:rsidR="0044514D" w:rsidRPr="0044514D">
        <w:t xml:space="preserve">ontractor. The Contractor </w:t>
      </w:r>
      <w:r w:rsidR="0044514D">
        <w:t>shall</w:t>
      </w:r>
      <w:r w:rsidR="0044514D" w:rsidRPr="0044514D">
        <w:t xml:space="preserve"> consider implementation and monitoring of the social and gender issues and the </w:t>
      </w:r>
      <w:r w:rsidR="0044514D">
        <w:t xml:space="preserve">PIU </w:t>
      </w:r>
      <w:r w:rsidR="0044514D" w:rsidRPr="0044514D">
        <w:t>Consultant will monitor</w:t>
      </w:r>
      <w:r w:rsidR="0044514D">
        <w:t xml:space="preserve"> it. Gender aspects are monitored by PIU staff and reported to ADB accordingly.</w:t>
      </w:r>
    </w:p>
    <w:p w:rsidR="00130B3D" w:rsidRDefault="00130B3D">
      <w:pPr>
        <w:spacing w:line="240" w:lineRule="auto"/>
      </w:pPr>
    </w:p>
    <w:p w:rsidR="00130B3D" w:rsidRPr="00FA6406" w:rsidRDefault="00130B3D">
      <w:pPr>
        <w:spacing w:line="240" w:lineRule="auto"/>
      </w:pPr>
      <w:r>
        <w:t>The monitoring of social safeguard issues will be summarized and reported through Quarterly SSMR after end of the first quarter 2021.</w:t>
      </w:r>
    </w:p>
    <w:p w:rsidR="008E79F8" w:rsidRDefault="008E79F8">
      <w:pPr>
        <w:spacing w:line="240" w:lineRule="auto"/>
      </w:pPr>
    </w:p>
    <w:p w:rsidR="0044514D" w:rsidRDefault="0044514D" w:rsidP="0044514D">
      <w:pPr>
        <w:spacing w:line="240" w:lineRule="auto"/>
      </w:pPr>
      <w:r>
        <w:t xml:space="preserve">As soon as construction works </w:t>
      </w:r>
      <w:r w:rsidR="000E0BB3">
        <w:t xml:space="preserve">of package CW1 </w:t>
      </w:r>
      <w:r>
        <w:t>commence (</w:t>
      </w:r>
      <w:r w:rsidR="00130B3D">
        <w:t xml:space="preserve">scheduled by end of </w:t>
      </w:r>
      <w:r>
        <w:t xml:space="preserve">Q2 2021), environmental monitoring will be continued. Specific Environmental Management Plan (SEMP) </w:t>
      </w:r>
      <w:r w:rsidR="000E0BB3">
        <w:t xml:space="preserve">shall </w:t>
      </w:r>
      <w:r>
        <w:t>be prepared before commencement of construction activities, during mobilization stage, before commencement of construction activities by E</w:t>
      </w:r>
      <w:r w:rsidR="000E0BB3">
        <w:t>nvironmental Specialist of the Contractor</w:t>
      </w:r>
      <w:r>
        <w:t>.</w:t>
      </w:r>
    </w:p>
    <w:p w:rsidR="0044514D" w:rsidRDefault="0044514D" w:rsidP="0044514D">
      <w:pPr>
        <w:spacing w:line="240" w:lineRule="auto"/>
      </w:pPr>
    </w:p>
    <w:p w:rsidR="0044514D" w:rsidRDefault="0044514D" w:rsidP="0044514D">
      <w:pPr>
        <w:spacing w:line="240" w:lineRule="auto"/>
      </w:pPr>
      <w:r>
        <w:t>The preparation of the quarterly and semi-annual environmental reports will be continued but all items / paragraphs, which haven’t changed or developed will not repeated as in the Report.</w:t>
      </w:r>
      <w:r w:rsidR="000E0BB3">
        <w:t xml:space="preserve"> </w:t>
      </w:r>
      <w:r>
        <w:t>The Environmental Monitoring Reports upon review and approval by ADB will be posted on the Maxsustrans website and disclosed on ADB web-site as before. The next Semi-annual EMR</w:t>
      </w:r>
      <w:r w:rsidR="000E0BB3">
        <w:t xml:space="preserve"> for the reporting period from </w:t>
      </w:r>
      <w:r>
        <w:t>January</w:t>
      </w:r>
      <w:r w:rsidR="000E0BB3">
        <w:t xml:space="preserve"> to </w:t>
      </w:r>
      <w:r>
        <w:t xml:space="preserve">June 2021 </w:t>
      </w:r>
      <w:r w:rsidR="000E0BB3">
        <w:t>will be submitted to the Client and</w:t>
      </w:r>
      <w:r>
        <w:t xml:space="preserve"> PIU in July 2021.</w:t>
      </w:r>
    </w:p>
    <w:p w:rsidR="0044514D" w:rsidRDefault="0044514D" w:rsidP="0044514D">
      <w:pPr>
        <w:spacing w:line="240" w:lineRule="auto"/>
      </w:pPr>
    </w:p>
    <w:p w:rsidR="0044514D" w:rsidRPr="00FA6406" w:rsidRDefault="0044514D">
      <w:pPr>
        <w:spacing w:line="240" w:lineRule="auto"/>
      </w:pPr>
    </w:p>
    <w:p w:rsidR="004E30FF" w:rsidRPr="00FA6406" w:rsidRDefault="004E30FF">
      <w:pPr>
        <w:pStyle w:val="2"/>
        <w:numPr>
          <w:ilvl w:val="1"/>
          <w:numId w:val="5"/>
        </w:numPr>
        <w:spacing w:before="0"/>
      </w:pPr>
      <w:bookmarkStart w:id="33" w:name="_Toc64301513"/>
      <w:r w:rsidRPr="00FA6406">
        <w:t>Media and Public Relations (TOR Task F)</w:t>
      </w:r>
      <w:bookmarkEnd w:id="33"/>
    </w:p>
    <w:p w:rsidR="004E30FF" w:rsidRPr="00FA6406" w:rsidRDefault="004E30FF">
      <w:pPr>
        <w:spacing w:line="240" w:lineRule="auto"/>
      </w:pPr>
    </w:p>
    <w:p w:rsidR="004E30FF" w:rsidRDefault="004E30FF">
      <w:pPr>
        <w:spacing w:line="240" w:lineRule="auto"/>
      </w:pPr>
      <w:r w:rsidRPr="00FA6406">
        <w:t xml:space="preserve">The Consultant will guide the Client/PIU to carry out Media and Public Relations activities within the reporting period as well as a part of this work will be assistance to the Client in posting of relevant project progress reports at the </w:t>
      </w:r>
      <w:r w:rsidR="00096D19" w:rsidRPr="00FA6406">
        <w:t xml:space="preserve">Maxsustrans </w:t>
      </w:r>
      <w:r w:rsidRPr="00FA6406">
        <w:t xml:space="preserve">website.  </w:t>
      </w:r>
    </w:p>
    <w:p w:rsidR="00272149" w:rsidRDefault="00272149">
      <w:pPr>
        <w:spacing w:line="240" w:lineRule="auto"/>
      </w:pPr>
    </w:p>
    <w:p w:rsidR="00272149" w:rsidRDefault="00272149">
      <w:pPr>
        <w:spacing w:line="240" w:lineRule="auto"/>
      </w:pPr>
      <w:r>
        <w:t xml:space="preserve">When the civil works will be started under package CW2 – Transfer Station Rehabilitation, a special focus will be given to public relations and information program addressed to local residents and communities located in vicinity of the transfer station in </w:t>
      </w:r>
      <w:proofErr w:type="spellStart"/>
      <w:r>
        <w:t>Yakkasaray</w:t>
      </w:r>
      <w:proofErr w:type="spellEnd"/>
      <w:r>
        <w:t xml:space="preserve"> and </w:t>
      </w:r>
      <w:proofErr w:type="spellStart"/>
      <w:r>
        <w:t>Yunusabad</w:t>
      </w:r>
      <w:proofErr w:type="spellEnd"/>
      <w:r>
        <w:t xml:space="preserve"> districts. </w:t>
      </w:r>
    </w:p>
    <w:p w:rsidR="00272149" w:rsidRDefault="00272149">
      <w:pPr>
        <w:spacing w:line="240" w:lineRule="auto"/>
      </w:pPr>
    </w:p>
    <w:p w:rsidR="00272149" w:rsidRPr="00FA6406" w:rsidRDefault="00272149">
      <w:pPr>
        <w:spacing w:line="240" w:lineRule="auto"/>
      </w:pPr>
      <w:r>
        <w:t xml:space="preserve">In the next reporting period (January – March 2021), it is not realistic and feasible to commence the civil works of package CW1 (and CW3) due to rebidding issues. </w:t>
      </w:r>
    </w:p>
    <w:p w:rsidR="004E30FF" w:rsidRPr="00FA6406" w:rsidRDefault="004E30FF">
      <w:pPr>
        <w:spacing w:line="240" w:lineRule="auto"/>
        <w:rPr>
          <w:rFonts w:cs="Calibri"/>
          <w:b/>
          <w:caps/>
          <w:sz w:val="24"/>
          <w:szCs w:val="24"/>
          <w:u w:val="single"/>
        </w:rPr>
      </w:pPr>
    </w:p>
    <w:p w:rsidR="00963F9E" w:rsidRPr="00FA6406" w:rsidRDefault="00963F9E">
      <w:pPr>
        <w:suppressAutoHyphens w:val="0"/>
        <w:spacing w:line="240" w:lineRule="auto"/>
        <w:jc w:val="left"/>
        <w:rPr>
          <w:rFonts w:cs="Calibri"/>
          <w:b/>
          <w:caps/>
          <w:sz w:val="24"/>
          <w:szCs w:val="24"/>
          <w:u w:val="single"/>
        </w:rPr>
      </w:pPr>
      <w:r w:rsidRPr="00FA6406">
        <w:rPr>
          <w:rFonts w:cs="Calibri"/>
          <w:b/>
          <w:caps/>
          <w:sz w:val="24"/>
          <w:szCs w:val="24"/>
          <w:u w:val="single"/>
        </w:rPr>
        <w:br w:type="page"/>
      </w:r>
    </w:p>
    <w:p w:rsidR="00963F9E" w:rsidRDefault="00963F9E" w:rsidP="00963F9E">
      <w:pPr>
        <w:pStyle w:val="1"/>
        <w:numPr>
          <w:ilvl w:val="0"/>
          <w:numId w:val="5"/>
        </w:numPr>
        <w:spacing w:line="240" w:lineRule="auto"/>
      </w:pPr>
      <w:bookmarkStart w:id="34" w:name="_Toc64301514"/>
      <w:r>
        <w:lastRenderedPageBreak/>
        <w:t>Consultant’s staff and budget used</w:t>
      </w:r>
      <w:bookmarkEnd w:id="34"/>
    </w:p>
    <w:p w:rsidR="00963F9E" w:rsidRPr="00EC4223" w:rsidRDefault="00963F9E">
      <w:pPr>
        <w:spacing w:line="240" w:lineRule="auto"/>
      </w:pPr>
    </w:p>
    <w:p w:rsidR="003065E7" w:rsidRDefault="003065E7">
      <w:pPr>
        <w:spacing w:line="240" w:lineRule="auto"/>
      </w:pPr>
      <w:r>
        <w:t xml:space="preserve">The latest interim invoice No. 13 for the services from April to November 2020 has been paid to PIU Consultant in December 2020. According to this invoice the following data </w:t>
      </w:r>
      <w:r w:rsidR="004E4957">
        <w:t xml:space="preserve">as of 30 November 2020 </w:t>
      </w:r>
      <w:r>
        <w:t>is provided</w:t>
      </w:r>
      <w:r w:rsidR="004E4957">
        <w:t xml:space="preserve"> in summary below</w:t>
      </w:r>
      <w:r>
        <w:t>:</w:t>
      </w:r>
    </w:p>
    <w:p w:rsidR="003065E7" w:rsidRDefault="003065E7">
      <w:pPr>
        <w:spacing w:line="240" w:lineRule="auto"/>
      </w:pPr>
    </w:p>
    <w:p w:rsidR="003065E7" w:rsidRDefault="004E4957">
      <w:pPr>
        <w:spacing w:line="240" w:lineRule="auto"/>
      </w:pPr>
      <w:r w:rsidRPr="004E4957">
        <w:rPr>
          <w:noProof/>
          <w:lang w:val="ru-RU" w:eastAsia="ru-RU"/>
        </w:rPr>
        <w:drawing>
          <wp:inline distT="0" distB="0" distL="0" distR="0">
            <wp:extent cx="6030595" cy="190105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1901050"/>
                    </a:xfrm>
                    <a:prstGeom prst="rect">
                      <a:avLst/>
                    </a:prstGeom>
                    <a:noFill/>
                    <a:ln>
                      <a:noFill/>
                    </a:ln>
                  </pic:spPr>
                </pic:pic>
              </a:graphicData>
            </a:graphic>
          </wp:inline>
        </w:drawing>
      </w:r>
    </w:p>
    <w:p w:rsidR="004E4957" w:rsidRDefault="004E4957">
      <w:pPr>
        <w:spacing w:line="240" w:lineRule="auto"/>
      </w:pPr>
    </w:p>
    <w:p w:rsidR="004C7C94" w:rsidRDefault="004C7C94">
      <w:pPr>
        <w:spacing w:line="240" w:lineRule="auto"/>
      </w:pPr>
      <w:r>
        <w:t xml:space="preserve">As of 30 November 2020, </w:t>
      </w:r>
      <w:r w:rsidR="007A7820">
        <w:t>$179,000, i.e. about 10% of the total amount of Remuneration and Reimbursable cost of PIU Consultants remains unused</w:t>
      </w:r>
      <w:r w:rsidR="00FD3214">
        <w:t>, which is foreseen to be claimed till the end of this assignment</w:t>
      </w:r>
      <w:r w:rsidR="007A7820">
        <w:t xml:space="preserve">. </w:t>
      </w:r>
      <w:r w:rsidR="00581FB7">
        <w:t xml:space="preserve">Against 85% of assignment period lapsed, about 90% of the total budget is used. </w:t>
      </w:r>
      <w:r w:rsidR="007A7820">
        <w:t>About $318,000 (Contingency and Provision Sums) can be unused until end of this assignment, in case of completion of the services by 30 June 2021.</w:t>
      </w:r>
    </w:p>
    <w:p w:rsidR="007A7820" w:rsidRDefault="007A7820">
      <w:pPr>
        <w:spacing w:line="240" w:lineRule="auto"/>
      </w:pPr>
    </w:p>
    <w:p w:rsidR="007A7820" w:rsidRDefault="007A7820">
      <w:pPr>
        <w:spacing w:line="240" w:lineRule="auto"/>
      </w:pPr>
      <w:r>
        <w:t xml:space="preserve">The following table shows the used and remained input of key and non-key staff of PIU Consultants as of 30 November 2020. 35.61 input months remain to date, of which 20.61 months for key staff and 15.01 for non-key staff. </w:t>
      </w:r>
    </w:p>
    <w:p w:rsidR="004E4957" w:rsidRDefault="004E4957">
      <w:pPr>
        <w:spacing w:line="240" w:lineRule="auto"/>
      </w:pPr>
    </w:p>
    <w:p w:rsidR="004C7C94" w:rsidRPr="00EC4223" w:rsidRDefault="004C7C94">
      <w:pPr>
        <w:spacing w:line="240" w:lineRule="auto"/>
      </w:pPr>
      <w:r w:rsidRPr="004C7C94">
        <w:rPr>
          <w:noProof/>
          <w:lang w:val="ru-RU" w:eastAsia="ru-RU"/>
        </w:rPr>
        <w:drawing>
          <wp:inline distT="0" distB="0" distL="0" distR="0">
            <wp:extent cx="6030595" cy="4118427"/>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4118427"/>
                    </a:xfrm>
                    <a:prstGeom prst="rect">
                      <a:avLst/>
                    </a:prstGeom>
                    <a:noFill/>
                    <a:ln>
                      <a:noFill/>
                    </a:ln>
                  </pic:spPr>
                </pic:pic>
              </a:graphicData>
            </a:graphic>
          </wp:inline>
        </w:drawing>
      </w:r>
    </w:p>
    <w:p w:rsidR="004E30FF" w:rsidRDefault="004E30FF">
      <w:pPr>
        <w:pStyle w:val="af6"/>
        <w:pageBreakBefore/>
      </w:pPr>
      <w:bookmarkStart w:id="35" w:name="_Hlk499799822"/>
      <w:r>
        <w:lastRenderedPageBreak/>
        <w:t>ANNEXES</w:t>
      </w:r>
    </w:p>
    <w:p w:rsidR="004E30FF" w:rsidRDefault="004E30FF">
      <w:pPr>
        <w:rPr>
          <w:rFonts w:ascii="Cambria" w:eastAsia="Times New Roman" w:hAnsi="Cambria" w:cs="Times New Roman"/>
          <w:b/>
          <w:bCs/>
          <w:caps/>
          <w:sz w:val="24"/>
          <w:szCs w:val="24"/>
          <w:lang w:eastAsia="es-ES"/>
        </w:rPr>
      </w:pPr>
    </w:p>
    <w:bookmarkEnd w:id="35"/>
    <w:p w:rsidR="00963F9E" w:rsidRDefault="00963F9E">
      <w:pPr>
        <w:rPr>
          <w:rFonts w:ascii="Cambria" w:eastAsia="Times New Roman" w:hAnsi="Cambria" w:cs="Times New Roman"/>
          <w:b/>
          <w:bCs/>
          <w:caps/>
          <w:sz w:val="24"/>
          <w:szCs w:val="24"/>
          <w:lang w:eastAsia="es-ES"/>
        </w:rPr>
      </w:pPr>
    </w:p>
    <w:sectPr w:rsidR="00963F9E" w:rsidSect="00755668">
      <w:headerReference w:type="default" r:id="rId23"/>
      <w:footerReference w:type="default" r:id="rId24"/>
      <w:pgSz w:w="11906" w:h="16838"/>
      <w:pgMar w:top="866" w:right="849" w:bottom="709" w:left="1560" w:header="567" w:footer="665" w:gutter="0"/>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C4" w:rsidRDefault="006835C4">
      <w:pPr>
        <w:spacing w:line="240" w:lineRule="auto"/>
      </w:pPr>
      <w:r>
        <w:separator/>
      </w:r>
    </w:p>
  </w:endnote>
  <w:endnote w:type="continuationSeparator" w:id="0">
    <w:p w:rsidR="006835C4" w:rsidRDefault="006835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58">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34" w:rsidRDefault="00E62D34" w:rsidP="00755668">
    <w:pPr>
      <w:pStyle w:val="af5"/>
    </w:pPr>
    <w:r>
      <w:rPr>
        <w:i/>
        <w:sz w:val="16"/>
        <w:szCs w:val="16"/>
      </w:rPr>
      <w:t xml:space="preserve">Annual Progress </w:t>
    </w:r>
    <w:r w:rsidRPr="00407F56">
      <w:rPr>
        <w:i/>
        <w:sz w:val="16"/>
        <w:szCs w:val="16"/>
      </w:rPr>
      <w:t>Report</w:t>
    </w:r>
    <w:r>
      <w:rPr>
        <w:i/>
        <w:sz w:val="16"/>
        <w:szCs w:val="16"/>
      </w:rPr>
      <w:t xml:space="preserve"> for January – December 2020</w:t>
    </w:r>
    <w:r>
      <w:tab/>
    </w:r>
    <w:r>
      <w:tab/>
      <w:t xml:space="preserve">Page </w:t>
    </w:r>
    <w:r>
      <w:rPr>
        <w:b/>
      </w:rPr>
      <w:fldChar w:fldCharType="begin"/>
    </w:r>
    <w:r>
      <w:rPr>
        <w:b/>
      </w:rPr>
      <w:instrText xml:space="preserve"> PAGE </w:instrText>
    </w:r>
    <w:r>
      <w:rPr>
        <w:b/>
      </w:rPr>
      <w:fldChar w:fldCharType="separate"/>
    </w:r>
    <w:r w:rsidR="00112BAD">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12BAD">
      <w:rPr>
        <w:b/>
        <w:noProof/>
      </w:rPr>
      <w:t>28</w:t>
    </w:r>
    <w:r>
      <w:rPr>
        <w:b/>
      </w:rPr>
      <w:fldChar w:fldCharType="end"/>
    </w:r>
  </w:p>
  <w:p w:rsidR="00E62D34" w:rsidRDefault="00E62D34" w:rsidP="00755668">
    <w:pPr>
      <w:pStyle w:val="af5"/>
    </w:pPr>
    <w:r w:rsidRPr="00F976D5">
      <w:rPr>
        <w:rFonts w:cs="Arial"/>
        <w:i/>
        <w:sz w:val="16"/>
        <w:szCs w:val="16"/>
      </w:rPr>
      <w:t>Contract No: SUE/ Maxsustrans/ QCBS-Cons_1-2016-01</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C4" w:rsidRDefault="006835C4">
      <w:pPr>
        <w:spacing w:line="240" w:lineRule="auto"/>
      </w:pPr>
      <w:r>
        <w:separator/>
      </w:r>
    </w:p>
  </w:footnote>
  <w:footnote w:type="continuationSeparator" w:id="0">
    <w:p w:rsidR="006835C4" w:rsidRDefault="006835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34" w:rsidRPr="00E943A1" w:rsidRDefault="00E62D34" w:rsidP="00755668">
    <w:pPr>
      <w:pStyle w:val="af4"/>
    </w:pPr>
    <w:r>
      <w:rPr>
        <w:noProof/>
        <w:sz w:val="24"/>
        <w:lang w:val="ru-RU" w:eastAsia="ru-RU"/>
      </w:rPr>
      <w:drawing>
        <wp:anchor distT="0" distB="0" distL="114300" distR="114300" simplePos="0" relativeHeight="251659776" behindDoc="1" locked="0" layoutInCell="1" allowOverlap="1">
          <wp:simplePos x="0" y="0"/>
          <wp:positionH relativeFrom="column">
            <wp:posOffset>5308307</wp:posOffset>
          </wp:positionH>
          <wp:positionV relativeFrom="paragraph">
            <wp:posOffset>-217170</wp:posOffset>
          </wp:positionV>
          <wp:extent cx="641985" cy="642620"/>
          <wp:effectExtent l="0" t="0" r="5715" b="5080"/>
          <wp:wrapNone/>
          <wp:docPr id="31"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642620"/>
                  </a:xfrm>
                  <a:prstGeom prst="rect">
                    <a:avLst/>
                  </a:prstGeom>
                  <a:noFill/>
                  <a:ln>
                    <a:noFill/>
                  </a:ln>
                </pic:spPr>
              </pic:pic>
            </a:graphicData>
          </a:graphic>
        </wp:anchor>
      </w:drawing>
    </w:r>
    <w:r w:rsidRPr="00E943A1">
      <w:t xml:space="preserve">Prepared by PIU Consultants – </w:t>
    </w:r>
    <w:proofErr w:type="spellStart"/>
    <w:r w:rsidRPr="00E943A1">
      <w:t>Infratech</w:t>
    </w:r>
    <w:proofErr w:type="spellEnd"/>
    <w:r w:rsidRPr="00E943A1">
      <w:t xml:space="preserve"> Consultant SDN Ltd.</w:t>
    </w:r>
  </w:p>
  <w:p w:rsidR="00E62D34" w:rsidRDefault="00E62D34" w:rsidP="00755668">
    <w:pPr>
      <w:pStyle w:val="af5"/>
    </w:pPr>
    <w:r>
      <w:rPr>
        <w:noProof/>
        <w:lang w:val="ru-RU" w:eastAsia="ru-RU"/>
      </w:rPr>
      <w:drawing>
        <wp:anchor distT="0" distB="5715" distL="114300" distR="114300" simplePos="0" relativeHeight="251657728" behindDoc="0" locked="0" layoutInCell="1" allowOverlap="1">
          <wp:simplePos x="0" y="0"/>
          <wp:positionH relativeFrom="column">
            <wp:posOffset>8973185</wp:posOffset>
          </wp:positionH>
          <wp:positionV relativeFrom="paragraph">
            <wp:posOffset>-119380</wp:posOffset>
          </wp:positionV>
          <wp:extent cx="764540" cy="546100"/>
          <wp:effectExtent l="0" t="0" r="0"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546100"/>
                  </a:xfrm>
                  <a:prstGeom prst="rect">
                    <a:avLst/>
                  </a:prstGeom>
                  <a:solidFill>
                    <a:srgbClr val="FFFFFF">
                      <a:alpha val="0"/>
                    </a:srgbClr>
                  </a:solidFill>
                  <a:ln>
                    <a:noFill/>
                  </a:ln>
                </pic:spPr>
              </pic:pic>
            </a:graphicData>
          </a:graphic>
        </wp:anchor>
      </w:drawing>
    </w:r>
  </w:p>
  <w:p w:rsidR="00E62D34" w:rsidRDefault="00E62D34" w:rsidP="0075566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B08C7D5A"/>
    <w:name w:val="WWNum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7"/>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B1C20268"/>
    <w:name w:val="WWNum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nsid w:val="00000006"/>
    <w:multiLevelType w:val="multilevel"/>
    <w:tmpl w:val="00000006"/>
    <w:name w:val="WWNum9"/>
    <w:lvl w:ilvl="0">
      <w:start w:val="1"/>
      <w:numFmt w:val="bullet"/>
      <w:lvlText w:val="-"/>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8"/>
    <w:multiLevelType w:val="multilevel"/>
    <w:tmpl w:val="00000008"/>
    <w:name w:val="WWNum11"/>
    <w:lvl w:ilvl="0">
      <w:start w:val="1"/>
      <w:numFmt w:val="bullet"/>
      <w:lvlText w:val=""/>
      <w:lvlJc w:val="left"/>
      <w:pPr>
        <w:tabs>
          <w:tab w:val="num" w:pos="0"/>
        </w:tabs>
        <w:ind w:left="36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9"/>
    <w:multiLevelType w:val="multilevel"/>
    <w:tmpl w:val="00000009"/>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A"/>
    <w:multiLevelType w:val="multilevel"/>
    <w:tmpl w:val="0000000A"/>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5"/>
    <w:lvl w:ilvl="0">
      <w:start w:val="1"/>
      <w:numFmt w:val="bullet"/>
      <w:lvlText w:val="-"/>
      <w:lvlJc w:val="left"/>
      <w:pPr>
        <w:tabs>
          <w:tab w:val="num" w:pos="0"/>
        </w:tabs>
        <w:ind w:left="720" w:hanging="360"/>
      </w:pPr>
      <w:rPr>
        <w:rFonts w:ascii="Times New Roman" w:hAnsi="Times New Roman" w:cs="Times New Roman"/>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lowerLetter"/>
      <w:lvlText w:val="%1)"/>
      <w:lvlJc w:val="left"/>
      <w:pPr>
        <w:tabs>
          <w:tab w:val="num" w:pos="0"/>
        </w:tabs>
        <w:ind w:left="1080" w:hanging="360"/>
      </w:pPr>
      <w:rPr>
        <w:b/>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0000000E"/>
    <w:multiLevelType w:val="multilevel"/>
    <w:tmpl w:val="0000000E"/>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CD74AC6"/>
    <w:multiLevelType w:val="hybridMultilevel"/>
    <w:tmpl w:val="0E26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B2F87"/>
    <w:multiLevelType w:val="hybridMultilevel"/>
    <w:tmpl w:val="129AE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3D5D29"/>
    <w:multiLevelType w:val="multilevel"/>
    <w:tmpl w:val="00000004"/>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2DC77577"/>
    <w:multiLevelType w:val="hybridMultilevel"/>
    <w:tmpl w:val="343AF8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7B551C1"/>
    <w:multiLevelType w:val="hybridMultilevel"/>
    <w:tmpl w:val="230263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1F7638C"/>
    <w:multiLevelType w:val="hybridMultilevel"/>
    <w:tmpl w:val="BC6E668A"/>
    <w:lvl w:ilvl="0" w:tplc="13863FF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E5263"/>
    <w:multiLevelType w:val="multilevel"/>
    <w:tmpl w:val="00000004"/>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54BA2336"/>
    <w:multiLevelType w:val="hybridMultilevel"/>
    <w:tmpl w:val="0E9A7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B4967"/>
    <w:multiLevelType w:val="hybridMultilevel"/>
    <w:tmpl w:val="93A0E05C"/>
    <w:lvl w:ilvl="0" w:tplc="8F540824">
      <w:numFmt w:val="bullet"/>
      <w:lvlText w:val="•"/>
      <w:lvlJc w:val="left"/>
      <w:pPr>
        <w:ind w:left="1070" w:hanging="71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25B0D"/>
    <w:multiLevelType w:val="hybridMultilevel"/>
    <w:tmpl w:val="AE6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85B87"/>
    <w:multiLevelType w:val="hybridMultilevel"/>
    <w:tmpl w:val="B386AEC8"/>
    <w:lvl w:ilvl="0" w:tplc="58F40D3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637145"/>
    <w:multiLevelType w:val="hybridMultilevel"/>
    <w:tmpl w:val="4BF4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23"/>
  </w:num>
  <w:num w:numId="18">
    <w:abstractNumId w:val="17"/>
  </w:num>
  <w:num w:numId="19">
    <w:abstractNumId w:val="18"/>
  </w:num>
  <w:num w:numId="20">
    <w:abstractNumId w:val="0"/>
  </w:num>
  <w:num w:numId="21">
    <w:abstractNumId w:val="0"/>
  </w:num>
  <w:num w:numId="22">
    <w:abstractNumId w:val="16"/>
  </w:num>
  <w:num w:numId="23">
    <w:abstractNumId w:val="20"/>
  </w:num>
  <w:num w:numId="24">
    <w:abstractNumId w:val="0"/>
  </w:num>
  <w:num w:numId="25">
    <w:abstractNumId w:val="19"/>
  </w:num>
  <w:num w:numId="26">
    <w:abstractNumId w:val="24"/>
  </w:num>
  <w:num w:numId="27">
    <w:abstractNumId w:val="21"/>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E331DF"/>
    <w:rsid w:val="000022D5"/>
    <w:rsid w:val="000032FC"/>
    <w:rsid w:val="00004D0B"/>
    <w:rsid w:val="000068D8"/>
    <w:rsid w:val="00006A80"/>
    <w:rsid w:val="0001368A"/>
    <w:rsid w:val="00015F46"/>
    <w:rsid w:val="000221D6"/>
    <w:rsid w:val="00022AA4"/>
    <w:rsid w:val="00026857"/>
    <w:rsid w:val="00026EFD"/>
    <w:rsid w:val="00035FA8"/>
    <w:rsid w:val="000365EA"/>
    <w:rsid w:val="00037162"/>
    <w:rsid w:val="0004066F"/>
    <w:rsid w:val="00042A4E"/>
    <w:rsid w:val="00044339"/>
    <w:rsid w:val="00047CCA"/>
    <w:rsid w:val="00051CA2"/>
    <w:rsid w:val="000545B5"/>
    <w:rsid w:val="000560FD"/>
    <w:rsid w:val="00057C3B"/>
    <w:rsid w:val="00062B86"/>
    <w:rsid w:val="0007118A"/>
    <w:rsid w:val="0007286C"/>
    <w:rsid w:val="000776F4"/>
    <w:rsid w:val="00080C12"/>
    <w:rsid w:val="0008280B"/>
    <w:rsid w:val="00095F93"/>
    <w:rsid w:val="00096A39"/>
    <w:rsid w:val="00096D19"/>
    <w:rsid w:val="000A1DE5"/>
    <w:rsid w:val="000A637C"/>
    <w:rsid w:val="000A772D"/>
    <w:rsid w:val="000B0A42"/>
    <w:rsid w:val="000B2201"/>
    <w:rsid w:val="000B3738"/>
    <w:rsid w:val="000B3A13"/>
    <w:rsid w:val="000C0137"/>
    <w:rsid w:val="000C33A3"/>
    <w:rsid w:val="000C45D3"/>
    <w:rsid w:val="000C4709"/>
    <w:rsid w:val="000C4AAB"/>
    <w:rsid w:val="000D1B37"/>
    <w:rsid w:val="000E0BB3"/>
    <w:rsid w:val="000E41A1"/>
    <w:rsid w:val="000E4959"/>
    <w:rsid w:val="000E4C23"/>
    <w:rsid w:val="000F1135"/>
    <w:rsid w:val="00102470"/>
    <w:rsid w:val="0010438B"/>
    <w:rsid w:val="001047D1"/>
    <w:rsid w:val="00105155"/>
    <w:rsid w:val="001070B1"/>
    <w:rsid w:val="00112BAD"/>
    <w:rsid w:val="00121730"/>
    <w:rsid w:val="00123A1F"/>
    <w:rsid w:val="00123DE0"/>
    <w:rsid w:val="00125926"/>
    <w:rsid w:val="00130730"/>
    <w:rsid w:val="00130B3D"/>
    <w:rsid w:val="00140A52"/>
    <w:rsid w:val="00140D06"/>
    <w:rsid w:val="0014462B"/>
    <w:rsid w:val="00145208"/>
    <w:rsid w:val="00146A88"/>
    <w:rsid w:val="00153FB1"/>
    <w:rsid w:val="001552BC"/>
    <w:rsid w:val="00157BF7"/>
    <w:rsid w:val="00162CD1"/>
    <w:rsid w:val="001717A4"/>
    <w:rsid w:val="00175B62"/>
    <w:rsid w:val="001822C5"/>
    <w:rsid w:val="00182BF3"/>
    <w:rsid w:val="00183BF8"/>
    <w:rsid w:val="00195BE9"/>
    <w:rsid w:val="00197005"/>
    <w:rsid w:val="001A049E"/>
    <w:rsid w:val="001A2196"/>
    <w:rsid w:val="001A37C2"/>
    <w:rsid w:val="001A53BE"/>
    <w:rsid w:val="001A6DFD"/>
    <w:rsid w:val="001B0F2B"/>
    <w:rsid w:val="001B2586"/>
    <w:rsid w:val="001B2F23"/>
    <w:rsid w:val="001B6FA7"/>
    <w:rsid w:val="001B7735"/>
    <w:rsid w:val="001C1B90"/>
    <w:rsid w:val="001C51A0"/>
    <w:rsid w:val="001C65CF"/>
    <w:rsid w:val="001D040F"/>
    <w:rsid w:val="001D111A"/>
    <w:rsid w:val="001D3ACD"/>
    <w:rsid w:val="001D59D6"/>
    <w:rsid w:val="001D7991"/>
    <w:rsid w:val="001E0E80"/>
    <w:rsid w:val="001E1787"/>
    <w:rsid w:val="001E5FFC"/>
    <w:rsid w:val="001E61B4"/>
    <w:rsid w:val="001E658A"/>
    <w:rsid w:val="001E70BF"/>
    <w:rsid w:val="001E797D"/>
    <w:rsid w:val="001E79A5"/>
    <w:rsid w:val="001F5ACC"/>
    <w:rsid w:val="001F5B8A"/>
    <w:rsid w:val="001F6497"/>
    <w:rsid w:val="001F64F9"/>
    <w:rsid w:val="00212179"/>
    <w:rsid w:val="00214682"/>
    <w:rsid w:val="00222EEB"/>
    <w:rsid w:val="00227169"/>
    <w:rsid w:val="00227A2C"/>
    <w:rsid w:val="0023113F"/>
    <w:rsid w:val="00231A1C"/>
    <w:rsid w:val="00232633"/>
    <w:rsid w:val="00232AF5"/>
    <w:rsid w:val="0023322E"/>
    <w:rsid w:val="00234E4B"/>
    <w:rsid w:val="0024043D"/>
    <w:rsid w:val="00250733"/>
    <w:rsid w:val="0025196E"/>
    <w:rsid w:val="00251A86"/>
    <w:rsid w:val="0026051A"/>
    <w:rsid w:val="00260977"/>
    <w:rsid w:val="00260CCA"/>
    <w:rsid w:val="00264391"/>
    <w:rsid w:val="0026556A"/>
    <w:rsid w:val="00272149"/>
    <w:rsid w:val="002749E1"/>
    <w:rsid w:val="00274BBB"/>
    <w:rsid w:val="002751CE"/>
    <w:rsid w:val="002769AB"/>
    <w:rsid w:val="002845F4"/>
    <w:rsid w:val="002929E3"/>
    <w:rsid w:val="0029350F"/>
    <w:rsid w:val="0029495A"/>
    <w:rsid w:val="00295384"/>
    <w:rsid w:val="002A1FA1"/>
    <w:rsid w:val="002A31EE"/>
    <w:rsid w:val="002A68BA"/>
    <w:rsid w:val="002C06BC"/>
    <w:rsid w:val="002C4463"/>
    <w:rsid w:val="002C45D9"/>
    <w:rsid w:val="002D00E4"/>
    <w:rsid w:val="002D58E2"/>
    <w:rsid w:val="002E0BA7"/>
    <w:rsid w:val="002E1232"/>
    <w:rsid w:val="002E5E3E"/>
    <w:rsid w:val="002F1C80"/>
    <w:rsid w:val="002F3C38"/>
    <w:rsid w:val="002F4FBD"/>
    <w:rsid w:val="002F6648"/>
    <w:rsid w:val="002F6B37"/>
    <w:rsid w:val="00304A64"/>
    <w:rsid w:val="003065E7"/>
    <w:rsid w:val="00312A77"/>
    <w:rsid w:val="003137DC"/>
    <w:rsid w:val="00313DFA"/>
    <w:rsid w:val="00316992"/>
    <w:rsid w:val="0031784B"/>
    <w:rsid w:val="00320C6A"/>
    <w:rsid w:val="0032127B"/>
    <w:rsid w:val="00322CDA"/>
    <w:rsid w:val="0032518F"/>
    <w:rsid w:val="003264E1"/>
    <w:rsid w:val="0033427F"/>
    <w:rsid w:val="00334C95"/>
    <w:rsid w:val="00337067"/>
    <w:rsid w:val="00340412"/>
    <w:rsid w:val="00340468"/>
    <w:rsid w:val="003441F3"/>
    <w:rsid w:val="00357BE9"/>
    <w:rsid w:val="00357F52"/>
    <w:rsid w:val="0036169E"/>
    <w:rsid w:val="0036274B"/>
    <w:rsid w:val="003633F9"/>
    <w:rsid w:val="00364400"/>
    <w:rsid w:val="00365ECC"/>
    <w:rsid w:val="00366651"/>
    <w:rsid w:val="003679E3"/>
    <w:rsid w:val="003712A7"/>
    <w:rsid w:val="003758DC"/>
    <w:rsid w:val="00375A9A"/>
    <w:rsid w:val="00377481"/>
    <w:rsid w:val="00381E11"/>
    <w:rsid w:val="0038219B"/>
    <w:rsid w:val="0038573F"/>
    <w:rsid w:val="00387E2C"/>
    <w:rsid w:val="003902C0"/>
    <w:rsid w:val="003A0C9F"/>
    <w:rsid w:val="003A22A1"/>
    <w:rsid w:val="003A23D9"/>
    <w:rsid w:val="003A7985"/>
    <w:rsid w:val="003B260D"/>
    <w:rsid w:val="003B310C"/>
    <w:rsid w:val="003B32E3"/>
    <w:rsid w:val="003C2048"/>
    <w:rsid w:val="003C2D46"/>
    <w:rsid w:val="003C68D6"/>
    <w:rsid w:val="003E1695"/>
    <w:rsid w:val="003E16ED"/>
    <w:rsid w:val="003E5B56"/>
    <w:rsid w:val="003F0C6A"/>
    <w:rsid w:val="003F4516"/>
    <w:rsid w:val="003F499E"/>
    <w:rsid w:val="003F6CC3"/>
    <w:rsid w:val="003F7912"/>
    <w:rsid w:val="00400C4D"/>
    <w:rsid w:val="00404F6C"/>
    <w:rsid w:val="0040533A"/>
    <w:rsid w:val="004056F1"/>
    <w:rsid w:val="00406B77"/>
    <w:rsid w:val="004133FB"/>
    <w:rsid w:val="00420B48"/>
    <w:rsid w:val="00422681"/>
    <w:rsid w:val="00422A3C"/>
    <w:rsid w:val="00422EF3"/>
    <w:rsid w:val="00425488"/>
    <w:rsid w:val="00431D1F"/>
    <w:rsid w:val="00434D2E"/>
    <w:rsid w:val="00440C81"/>
    <w:rsid w:val="00442AEE"/>
    <w:rsid w:val="0044514D"/>
    <w:rsid w:val="00445B93"/>
    <w:rsid w:val="00447190"/>
    <w:rsid w:val="00452C5C"/>
    <w:rsid w:val="004538A2"/>
    <w:rsid w:val="00454A88"/>
    <w:rsid w:val="004569EF"/>
    <w:rsid w:val="00462C2C"/>
    <w:rsid w:val="004702BB"/>
    <w:rsid w:val="0047051D"/>
    <w:rsid w:val="00472169"/>
    <w:rsid w:val="00472E1A"/>
    <w:rsid w:val="0047385F"/>
    <w:rsid w:val="004804C3"/>
    <w:rsid w:val="00480A7D"/>
    <w:rsid w:val="00481217"/>
    <w:rsid w:val="0048294D"/>
    <w:rsid w:val="00487AEB"/>
    <w:rsid w:val="00497EC2"/>
    <w:rsid w:val="004A3CAB"/>
    <w:rsid w:val="004A49A8"/>
    <w:rsid w:val="004A6DDB"/>
    <w:rsid w:val="004A6F6D"/>
    <w:rsid w:val="004B46ED"/>
    <w:rsid w:val="004C11BB"/>
    <w:rsid w:val="004C47BC"/>
    <w:rsid w:val="004C4B99"/>
    <w:rsid w:val="004C5FA1"/>
    <w:rsid w:val="004C7C94"/>
    <w:rsid w:val="004D03C8"/>
    <w:rsid w:val="004D1B9A"/>
    <w:rsid w:val="004D4193"/>
    <w:rsid w:val="004D462E"/>
    <w:rsid w:val="004D5C11"/>
    <w:rsid w:val="004D7D05"/>
    <w:rsid w:val="004E30FF"/>
    <w:rsid w:val="004E316E"/>
    <w:rsid w:val="004E4957"/>
    <w:rsid w:val="004F3995"/>
    <w:rsid w:val="004F5552"/>
    <w:rsid w:val="005002C0"/>
    <w:rsid w:val="00504BF6"/>
    <w:rsid w:val="005127DB"/>
    <w:rsid w:val="00514FF2"/>
    <w:rsid w:val="005243D2"/>
    <w:rsid w:val="0052707E"/>
    <w:rsid w:val="00527916"/>
    <w:rsid w:val="005309B0"/>
    <w:rsid w:val="00532CBF"/>
    <w:rsid w:val="00535228"/>
    <w:rsid w:val="005353CB"/>
    <w:rsid w:val="00541FC4"/>
    <w:rsid w:val="00542024"/>
    <w:rsid w:val="00542758"/>
    <w:rsid w:val="00542D1A"/>
    <w:rsid w:val="0054374B"/>
    <w:rsid w:val="0054455E"/>
    <w:rsid w:val="005500F8"/>
    <w:rsid w:val="005508EE"/>
    <w:rsid w:val="0055460D"/>
    <w:rsid w:val="005547A4"/>
    <w:rsid w:val="00554C91"/>
    <w:rsid w:val="00555423"/>
    <w:rsid w:val="00557936"/>
    <w:rsid w:val="00561C5E"/>
    <w:rsid w:val="00565EF3"/>
    <w:rsid w:val="00566250"/>
    <w:rsid w:val="00573926"/>
    <w:rsid w:val="00580A9C"/>
    <w:rsid w:val="00581FB7"/>
    <w:rsid w:val="0058337E"/>
    <w:rsid w:val="00584D39"/>
    <w:rsid w:val="00585B1E"/>
    <w:rsid w:val="0058652C"/>
    <w:rsid w:val="00586FEE"/>
    <w:rsid w:val="00587070"/>
    <w:rsid w:val="00587450"/>
    <w:rsid w:val="0059359A"/>
    <w:rsid w:val="0059789F"/>
    <w:rsid w:val="005A2E4B"/>
    <w:rsid w:val="005A75A4"/>
    <w:rsid w:val="005B120C"/>
    <w:rsid w:val="005B72ED"/>
    <w:rsid w:val="005C1476"/>
    <w:rsid w:val="005C3BC2"/>
    <w:rsid w:val="005C555B"/>
    <w:rsid w:val="005C5DE2"/>
    <w:rsid w:val="005D6A07"/>
    <w:rsid w:val="005D7182"/>
    <w:rsid w:val="005D7686"/>
    <w:rsid w:val="005D7B7F"/>
    <w:rsid w:val="005E39E1"/>
    <w:rsid w:val="005E586B"/>
    <w:rsid w:val="005F107A"/>
    <w:rsid w:val="005F4960"/>
    <w:rsid w:val="005F6C18"/>
    <w:rsid w:val="005F6E5C"/>
    <w:rsid w:val="005F72EA"/>
    <w:rsid w:val="005F799F"/>
    <w:rsid w:val="00600AE5"/>
    <w:rsid w:val="00600BE6"/>
    <w:rsid w:val="00602335"/>
    <w:rsid w:val="006052D7"/>
    <w:rsid w:val="00612356"/>
    <w:rsid w:val="00620DAA"/>
    <w:rsid w:val="0063000D"/>
    <w:rsid w:val="00637522"/>
    <w:rsid w:val="00653040"/>
    <w:rsid w:val="00653E84"/>
    <w:rsid w:val="0065716B"/>
    <w:rsid w:val="00660EA2"/>
    <w:rsid w:val="00660EE8"/>
    <w:rsid w:val="00663A37"/>
    <w:rsid w:val="00666614"/>
    <w:rsid w:val="00666B0C"/>
    <w:rsid w:val="00667162"/>
    <w:rsid w:val="00670259"/>
    <w:rsid w:val="006718CE"/>
    <w:rsid w:val="0067194B"/>
    <w:rsid w:val="00672422"/>
    <w:rsid w:val="00680D60"/>
    <w:rsid w:val="0068226E"/>
    <w:rsid w:val="00682AE5"/>
    <w:rsid w:val="006835C4"/>
    <w:rsid w:val="00685F2E"/>
    <w:rsid w:val="00690A23"/>
    <w:rsid w:val="00693FFC"/>
    <w:rsid w:val="00694A4A"/>
    <w:rsid w:val="00694CDC"/>
    <w:rsid w:val="006A022B"/>
    <w:rsid w:val="006A4AE5"/>
    <w:rsid w:val="006A4D0B"/>
    <w:rsid w:val="006B2B3A"/>
    <w:rsid w:val="006B6B26"/>
    <w:rsid w:val="006B7242"/>
    <w:rsid w:val="006C14E4"/>
    <w:rsid w:val="006C2810"/>
    <w:rsid w:val="006C3127"/>
    <w:rsid w:val="006C3202"/>
    <w:rsid w:val="006D09DB"/>
    <w:rsid w:val="006D1E0F"/>
    <w:rsid w:val="006E143C"/>
    <w:rsid w:val="006E34F3"/>
    <w:rsid w:val="006E743E"/>
    <w:rsid w:val="006F569E"/>
    <w:rsid w:val="006F7087"/>
    <w:rsid w:val="00702F87"/>
    <w:rsid w:val="00710F11"/>
    <w:rsid w:val="007110CF"/>
    <w:rsid w:val="00712ED3"/>
    <w:rsid w:val="00713DAB"/>
    <w:rsid w:val="007153B2"/>
    <w:rsid w:val="007217B7"/>
    <w:rsid w:val="00731D8C"/>
    <w:rsid w:val="00733ED4"/>
    <w:rsid w:val="007348FA"/>
    <w:rsid w:val="00735181"/>
    <w:rsid w:val="00740556"/>
    <w:rsid w:val="00743376"/>
    <w:rsid w:val="007449A4"/>
    <w:rsid w:val="007500B4"/>
    <w:rsid w:val="007500F8"/>
    <w:rsid w:val="00755461"/>
    <w:rsid w:val="00755668"/>
    <w:rsid w:val="00760C9C"/>
    <w:rsid w:val="007631F2"/>
    <w:rsid w:val="007642F0"/>
    <w:rsid w:val="007673B6"/>
    <w:rsid w:val="007740ED"/>
    <w:rsid w:val="00775A80"/>
    <w:rsid w:val="00780247"/>
    <w:rsid w:val="00784211"/>
    <w:rsid w:val="00785C79"/>
    <w:rsid w:val="00792B09"/>
    <w:rsid w:val="00793C7D"/>
    <w:rsid w:val="00797554"/>
    <w:rsid w:val="007A1753"/>
    <w:rsid w:val="007A1CC0"/>
    <w:rsid w:val="007A51A9"/>
    <w:rsid w:val="007A61A9"/>
    <w:rsid w:val="007A7820"/>
    <w:rsid w:val="007A7D7C"/>
    <w:rsid w:val="007B5DC7"/>
    <w:rsid w:val="007B73C9"/>
    <w:rsid w:val="007B7417"/>
    <w:rsid w:val="007C00D4"/>
    <w:rsid w:val="007C32A0"/>
    <w:rsid w:val="007C497F"/>
    <w:rsid w:val="007C5E15"/>
    <w:rsid w:val="007D1089"/>
    <w:rsid w:val="007D11C2"/>
    <w:rsid w:val="007D4207"/>
    <w:rsid w:val="007E09B0"/>
    <w:rsid w:val="007E0A1B"/>
    <w:rsid w:val="007E2BAB"/>
    <w:rsid w:val="007E483E"/>
    <w:rsid w:val="007E7717"/>
    <w:rsid w:val="007F2166"/>
    <w:rsid w:val="007F24F1"/>
    <w:rsid w:val="007F41BC"/>
    <w:rsid w:val="007F4782"/>
    <w:rsid w:val="007F655F"/>
    <w:rsid w:val="00800B8E"/>
    <w:rsid w:val="00805084"/>
    <w:rsid w:val="008079A6"/>
    <w:rsid w:val="00812ED8"/>
    <w:rsid w:val="00814CFE"/>
    <w:rsid w:val="008159EF"/>
    <w:rsid w:val="00820EE9"/>
    <w:rsid w:val="00821467"/>
    <w:rsid w:val="00833432"/>
    <w:rsid w:val="00833D6A"/>
    <w:rsid w:val="00840E32"/>
    <w:rsid w:val="00840F12"/>
    <w:rsid w:val="008519E1"/>
    <w:rsid w:val="00851DB1"/>
    <w:rsid w:val="0086012C"/>
    <w:rsid w:val="008604AA"/>
    <w:rsid w:val="00860CD5"/>
    <w:rsid w:val="00862AFC"/>
    <w:rsid w:val="00862FA2"/>
    <w:rsid w:val="00864B96"/>
    <w:rsid w:val="0086709B"/>
    <w:rsid w:val="00871075"/>
    <w:rsid w:val="008755CB"/>
    <w:rsid w:val="0087652D"/>
    <w:rsid w:val="008769D1"/>
    <w:rsid w:val="00881AFE"/>
    <w:rsid w:val="00882F1C"/>
    <w:rsid w:val="008838C7"/>
    <w:rsid w:val="00885344"/>
    <w:rsid w:val="00885573"/>
    <w:rsid w:val="00891660"/>
    <w:rsid w:val="0089324C"/>
    <w:rsid w:val="00893AEC"/>
    <w:rsid w:val="008A00A7"/>
    <w:rsid w:val="008A2B46"/>
    <w:rsid w:val="008C1299"/>
    <w:rsid w:val="008C2832"/>
    <w:rsid w:val="008C453D"/>
    <w:rsid w:val="008C6309"/>
    <w:rsid w:val="008C6A69"/>
    <w:rsid w:val="008D0C2E"/>
    <w:rsid w:val="008D1A12"/>
    <w:rsid w:val="008D5E45"/>
    <w:rsid w:val="008E03CB"/>
    <w:rsid w:val="008E3A4B"/>
    <w:rsid w:val="008E6378"/>
    <w:rsid w:val="008E7984"/>
    <w:rsid w:val="008E79F8"/>
    <w:rsid w:val="008F0E2E"/>
    <w:rsid w:val="008F1395"/>
    <w:rsid w:val="008F2F27"/>
    <w:rsid w:val="008F4970"/>
    <w:rsid w:val="008F729D"/>
    <w:rsid w:val="008F7DE4"/>
    <w:rsid w:val="00903660"/>
    <w:rsid w:val="0090644C"/>
    <w:rsid w:val="00906F1D"/>
    <w:rsid w:val="009112D2"/>
    <w:rsid w:val="009131AA"/>
    <w:rsid w:val="0091478F"/>
    <w:rsid w:val="009176E2"/>
    <w:rsid w:val="00917B32"/>
    <w:rsid w:val="00925BA2"/>
    <w:rsid w:val="009305CA"/>
    <w:rsid w:val="00932B76"/>
    <w:rsid w:val="009330EA"/>
    <w:rsid w:val="00933974"/>
    <w:rsid w:val="00933BBE"/>
    <w:rsid w:val="009349E3"/>
    <w:rsid w:val="00940522"/>
    <w:rsid w:val="009405DB"/>
    <w:rsid w:val="00947EC9"/>
    <w:rsid w:val="00952D5B"/>
    <w:rsid w:val="00957B64"/>
    <w:rsid w:val="00962492"/>
    <w:rsid w:val="00963F9E"/>
    <w:rsid w:val="00964BA4"/>
    <w:rsid w:val="00965573"/>
    <w:rsid w:val="00965EE6"/>
    <w:rsid w:val="0096777E"/>
    <w:rsid w:val="0097019C"/>
    <w:rsid w:val="009703D4"/>
    <w:rsid w:val="00971DEC"/>
    <w:rsid w:val="00971FF0"/>
    <w:rsid w:val="00972F30"/>
    <w:rsid w:val="009765CB"/>
    <w:rsid w:val="0098071C"/>
    <w:rsid w:val="00981BD1"/>
    <w:rsid w:val="00992BF0"/>
    <w:rsid w:val="00993065"/>
    <w:rsid w:val="00994BFF"/>
    <w:rsid w:val="00997562"/>
    <w:rsid w:val="009A0BB8"/>
    <w:rsid w:val="009A2D7D"/>
    <w:rsid w:val="009A4600"/>
    <w:rsid w:val="009A54FC"/>
    <w:rsid w:val="009A6F4E"/>
    <w:rsid w:val="009B08E8"/>
    <w:rsid w:val="009B0DCF"/>
    <w:rsid w:val="009B4D73"/>
    <w:rsid w:val="009C1C50"/>
    <w:rsid w:val="009C3C5D"/>
    <w:rsid w:val="009D0D59"/>
    <w:rsid w:val="009D1776"/>
    <w:rsid w:val="009D5FF5"/>
    <w:rsid w:val="009E28B7"/>
    <w:rsid w:val="009E4719"/>
    <w:rsid w:val="009F09AE"/>
    <w:rsid w:val="009F5135"/>
    <w:rsid w:val="009F76F6"/>
    <w:rsid w:val="00A00F62"/>
    <w:rsid w:val="00A03ED5"/>
    <w:rsid w:val="00A07159"/>
    <w:rsid w:val="00A07A5F"/>
    <w:rsid w:val="00A109E4"/>
    <w:rsid w:val="00A11F14"/>
    <w:rsid w:val="00A1262F"/>
    <w:rsid w:val="00A15952"/>
    <w:rsid w:val="00A2038F"/>
    <w:rsid w:val="00A24620"/>
    <w:rsid w:val="00A263E7"/>
    <w:rsid w:val="00A27BF3"/>
    <w:rsid w:val="00A30358"/>
    <w:rsid w:val="00A30D18"/>
    <w:rsid w:val="00A33599"/>
    <w:rsid w:val="00A3546B"/>
    <w:rsid w:val="00A37E70"/>
    <w:rsid w:val="00A4099D"/>
    <w:rsid w:val="00A41CAB"/>
    <w:rsid w:val="00A4450E"/>
    <w:rsid w:val="00A474AD"/>
    <w:rsid w:val="00A47A73"/>
    <w:rsid w:val="00A50D2E"/>
    <w:rsid w:val="00A5130A"/>
    <w:rsid w:val="00A51993"/>
    <w:rsid w:val="00A53853"/>
    <w:rsid w:val="00A6032B"/>
    <w:rsid w:val="00A618D7"/>
    <w:rsid w:val="00A71A3E"/>
    <w:rsid w:val="00A72379"/>
    <w:rsid w:val="00A7256B"/>
    <w:rsid w:val="00A76627"/>
    <w:rsid w:val="00A803BF"/>
    <w:rsid w:val="00A83D99"/>
    <w:rsid w:val="00A84252"/>
    <w:rsid w:val="00A935C7"/>
    <w:rsid w:val="00A95D1B"/>
    <w:rsid w:val="00AA26B4"/>
    <w:rsid w:val="00AA3207"/>
    <w:rsid w:val="00AA39F6"/>
    <w:rsid w:val="00AA703F"/>
    <w:rsid w:val="00AB176E"/>
    <w:rsid w:val="00AB1DFC"/>
    <w:rsid w:val="00AB3EBC"/>
    <w:rsid w:val="00AC15EE"/>
    <w:rsid w:val="00AC541D"/>
    <w:rsid w:val="00AC5A7E"/>
    <w:rsid w:val="00AD0661"/>
    <w:rsid w:val="00AE0893"/>
    <w:rsid w:val="00AE0DEC"/>
    <w:rsid w:val="00AF33E5"/>
    <w:rsid w:val="00AF348E"/>
    <w:rsid w:val="00AF6EF8"/>
    <w:rsid w:val="00B04237"/>
    <w:rsid w:val="00B0693A"/>
    <w:rsid w:val="00B10666"/>
    <w:rsid w:val="00B1644B"/>
    <w:rsid w:val="00B24A9F"/>
    <w:rsid w:val="00B26300"/>
    <w:rsid w:val="00B268B7"/>
    <w:rsid w:val="00B27632"/>
    <w:rsid w:val="00B30D60"/>
    <w:rsid w:val="00B32FB2"/>
    <w:rsid w:val="00B33096"/>
    <w:rsid w:val="00B34855"/>
    <w:rsid w:val="00B408FC"/>
    <w:rsid w:val="00B43E47"/>
    <w:rsid w:val="00B44E41"/>
    <w:rsid w:val="00B4590F"/>
    <w:rsid w:val="00B47A24"/>
    <w:rsid w:val="00B51528"/>
    <w:rsid w:val="00B51A0B"/>
    <w:rsid w:val="00B51CE2"/>
    <w:rsid w:val="00B52387"/>
    <w:rsid w:val="00B53FF7"/>
    <w:rsid w:val="00B54E82"/>
    <w:rsid w:val="00B54F78"/>
    <w:rsid w:val="00B56A54"/>
    <w:rsid w:val="00B61E95"/>
    <w:rsid w:val="00B622AE"/>
    <w:rsid w:val="00B638F2"/>
    <w:rsid w:val="00B64D9D"/>
    <w:rsid w:val="00B65057"/>
    <w:rsid w:val="00B65692"/>
    <w:rsid w:val="00B71803"/>
    <w:rsid w:val="00B71D94"/>
    <w:rsid w:val="00B726AB"/>
    <w:rsid w:val="00B744B8"/>
    <w:rsid w:val="00B806B3"/>
    <w:rsid w:val="00B81CCF"/>
    <w:rsid w:val="00B82311"/>
    <w:rsid w:val="00B828D0"/>
    <w:rsid w:val="00B8670D"/>
    <w:rsid w:val="00B87980"/>
    <w:rsid w:val="00B90C8C"/>
    <w:rsid w:val="00BA165C"/>
    <w:rsid w:val="00BA3081"/>
    <w:rsid w:val="00BB5351"/>
    <w:rsid w:val="00BC357A"/>
    <w:rsid w:val="00BC7CE2"/>
    <w:rsid w:val="00BD059C"/>
    <w:rsid w:val="00BD3272"/>
    <w:rsid w:val="00BD7300"/>
    <w:rsid w:val="00BD7569"/>
    <w:rsid w:val="00BF17E2"/>
    <w:rsid w:val="00BF4DA4"/>
    <w:rsid w:val="00BF6704"/>
    <w:rsid w:val="00BF6D18"/>
    <w:rsid w:val="00C00939"/>
    <w:rsid w:val="00C02C1C"/>
    <w:rsid w:val="00C03DAF"/>
    <w:rsid w:val="00C04B17"/>
    <w:rsid w:val="00C10221"/>
    <w:rsid w:val="00C11832"/>
    <w:rsid w:val="00C131CC"/>
    <w:rsid w:val="00C14561"/>
    <w:rsid w:val="00C17B27"/>
    <w:rsid w:val="00C20C32"/>
    <w:rsid w:val="00C22337"/>
    <w:rsid w:val="00C23F21"/>
    <w:rsid w:val="00C24104"/>
    <w:rsid w:val="00C26574"/>
    <w:rsid w:val="00C27150"/>
    <w:rsid w:val="00C275D0"/>
    <w:rsid w:val="00C309EE"/>
    <w:rsid w:val="00C3155A"/>
    <w:rsid w:val="00C40C7A"/>
    <w:rsid w:val="00C423D6"/>
    <w:rsid w:val="00C4306D"/>
    <w:rsid w:val="00C45FA3"/>
    <w:rsid w:val="00C47626"/>
    <w:rsid w:val="00C509AB"/>
    <w:rsid w:val="00C50CC5"/>
    <w:rsid w:val="00C53D6E"/>
    <w:rsid w:val="00C55B75"/>
    <w:rsid w:val="00C57CC2"/>
    <w:rsid w:val="00C61211"/>
    <w:rsid w:val="00C73CBE"/>
    <w:rsid w:val="00C75875"/>
    <w:rsid w:val="00C83E77"/>
    <w:rsid w:val="00C86EC0"/>
    <w:rsid w:val="00C91A48"/>
    <w:rsid w:val="00C93276"/>
    <w:rsid w:val="00C95DB9"/>
    <w:rsid w:val="00C9763E"/>
    <w:rsid w:val="00CA15A5"/>
    <w:rsid w:val="00CA376A"/>
    <w:rsid w:val="00CA6352"/>
    <w:rsid w:val="00CB1983"/>
    <w:rsid w:val="00CB1FB7"/>
    <w:rsid w:val="00CB2798"/>
    <w:rsid w:val="00CB3FF8"/>
    <w:rsid w:val="00CB51A8"/>
    <w:rsid w:val="00CB62BE"/>
    <w:rsid w:val="00CC42DA"/>
    <w:rsid w:val="00CC6BF2"/>
    <w:rsid w:val="00CD70E1"/>
    <w:rsid w:val="00CE3BF4"/>
    <w:rsid w:val="00CE4A93"/>
    <w:rsid w:val="00CE4C35"/>
    <w:rsid w:val="00CE53E5"/>
    <w:rsid w:val="00CF376F"/>
    <w:rsid w:val="00CF3EA8"/>
    <w:rsid w:val="00CF6DE6"/>
    <w:rsid w:val="00CF7421"/>
    <w:rsid w:val="00CF7509"/>
    <w:rsid w:val="00CF7747"/>
    <w:rsid w:val="00D03287"/>
    <w:rsid w:val="00D106B7"/>
    <w:rsid w:val="00D10C5C"/>
    <w:rsid w:val="00D146E2"/>
    <w:rsid w:val="00D1517F"/>
    <w:rsid w:val="00D16C7B"/>
    <w:rsid w:val="00D16D12"/>
    <w:rsid w:val="00D2028A"/>
    <w:rsid w:val="00D216BC"/>
    <w:rsid w:val="00D22636"/>
    <w:rsid w:val="00D30408"/>
    <w:rsid w:val="00D32BB5"/>
    <w:rsid w:val="00D36F13"/>
    <w:rsid w:val="00D412BE"/>
    <w:rsid w:val="00D45E24"/>
    <w:rsid w:val="00D45ED1"/>
    <w:rsid w:val="00D46F43"/>
    <w:rsid w:val="00D47C11"/>
    <w:rsid w:val="00D5220B"/>
    <w:rsid w:val="00D5676F"/>
    <w:rsid w:val="00D618AC"/>
    <w:rsid w:val="00D620EB"/>
    <w:rsid w:val="00D63623"/>
    <w:rsid w:val="00D67442"/>
    <w:rsid w:val="00D70ECC"/>
    <w:rsid w:val="00D7307D"/>
    <w:rsid w:val="00D74EC4"/>
    <w:rsid w:val="00D8254D"/>
    <w:rsid w:val="00D84709"/>
    <w:rsid w:val="00D9582D"/>
    <w:rsid w:val="00D9650D"/>
    <w:rsid w:val="00DA2849"/>
    <w:rsid w:val="00DA7BE1"/>
    <w:rsid w:val="00DB2954"/>
    <w:rsid w:val="00DB2992"/>
    <w:rsid w:val="00DC0BAC"/>
    <w:rsid w:val="00DD22EF"/>
    <w:rsid w:val="00DD539A"/>
    <w:rsid w:val="00DE1B55"/>
    <w:rsid w:val="00DE2E70"/>
    <w:rsid w:val="00DE412A"/>
    <w:rsid w:val="00DF1D1F"/>
    <w:rsid w:val="00DF1EB4"/>
    <w:rsid w:val="00DF2260"/>
    <w:rsid w:val="00DF4A70"/>
    <w:rsid w:val="00E07497"/>
    <w:rsid w:val="00E10778"/>
    <w:rsid w:val="00E1306E"/>
    <w:rsid w:val="00E15EAF"/>
    <w:rsid w:val="00E21854"/>
    <w:rsid w:val="00E2201C"/>
    <w:rsid w:val="00E31ACA"/>
    <w:rsid w:val="00E331DF"/>
    <w:rsid w:val="00E33CE3"/>
    <w:rsid w:val="00E35E62"/>
    <w:rsid w:val="00E37357"/>
    <w:rsid w:val="00E40076"/>
    <w:rsid w:val="00E564CC"/>
    <w:rsid w:val="00E5734D"/>
    <w:rsid w:val="00E62D34"/>
    <w:rsid w:val="00E649CB"/>
    <w:rsid w:val="00E65066"/>
    <w:rsid w:val="00E66786"/>
    <w:rsid w:val="00E70260"/>
    <w:rsid w:val="00E73581"/>
    <w:rsid w:val="00E82BD6"/>
    <w:rsid w:val="00E849A7"/>
    <w:rsid w:val="00E866B6"/>
    <w:rsid w:val="00E86DD7"/>
    <w:rsid w:val="00E90FDC"/>
    <w:rsid w:val="00E91DA3"/>
    <w:rsid w:val="00E93239"/>
    <w:rsid w:val="00E9430B"/>
    <w:rsid w:val="00E966A8"/>
    <w:rsid w:val="00E97157"/>
    <w:rsid w:val="00E97D30"/>
    <w:rsid w:val="00EA038C"/>
    <w:rsid w:val="00EA3113"/>
    <w:rsid w:val="00EB10D2"/>
    <w:rsid w:val="00EB426A"/>
    <w:rsid w:val="00EB4ADB"/>
    <w:rsid w:val="00EB6FCC"/>
    <w:rsid w:val="00EC026D"/>
    <w:rsid w:val="00EC1989"/>
    <w:rsid w:val="00EC1A5D"/>
    <w:rsid w:val="00EC32D3"/>
    <w:rsid w:val="00EC4223"/>
    <w:rsid w:val="00EC73FF"/>
    <w:rsid w:val="00ED237F"/>
    <w:rsid w:val="00ED77E7"/>
    <w:rsid w:val="00ED7A7C"/>
    <w:rsid w:val="00ED7C8D"/>
    <w:rsid w:val="00ED7F2C"/>
    <w:rsid w:val="00EE2C33"/>
    <w:rsid w:val="00EE38EE"/>
    <w:rsid w:val="00EF065C"/>
    <w:rsid w:val="00EF38C9"/>
    <w:rsid w:val="00EF5CC2"/>
    <w:rsid w:val="00EF7FFE"/>
    <w:rsid w:val="00F00868"/>
    <w:rsid w:val="00F03480"/>
    <w:rsid w:val="00F036E3"/>
    <w:rsid w:val="00F05CDF"/>
    <w:rsid w:val="00F071D7"/>
    <w:rsid w:val="00F075D2"/>
    <w:rsid w:val="00F07CA0"/>
    <w:rsid w:val="00F104C7"/>
    <w:rsid w:val="00F10E0C"/>
    <w:rsid w:val="00F22B66"/>
    <w:rsid w:val="00F24001"/>
    <w:rsid w:val="00F269B0"/>
    <w:rsid w:val="00F26C3B"/>
    <w:rsid w:val="00F30BB2"/>
    <w:rsid w:val="00F3596D"/>
    <w:rsid w:val="00F447CB"/>
    <w:rsid w:val="00F477EA"/>
    <w:rsid w:val="00F47958"/>
    <w:rsid w:val="00F51020"/>
    <w:rsid w:val="00F519A8"/>
    <w:rsid w:val="00F5529E"/>
    <w:rsid w:val="00F57CF5"/>
    <w:rsid w:val="00F6199E"/>
    <w:rsid w:val="00F675ED"/>
    <w:rsid w:val="00F675F0"/>
    <w:rsid w:val="00F7195B"/>
    <w:rsid w:val="00F72340"/>
    <w:rsid w:val="00F73550"/>
    <w:rsid w:val="00F73C5A"/>
    <w:rsid w:val="00F7439B"/>
    <w:rsid w:val="00F761EC"/>
    <w:rsid w:val="00F77002"/>
    <w:rsid w:val="00F825BC"/>
    <w:rsid w:val="00F8354C"/>
    <w:rsid w:val="00F8562C"/>
    <w:rsid w:val="00F90D68"/>
    <w:rsid w:val="00FA0BA2"/>
    <w:rsid w:val="00FA1ACB"/>
    <w:rsid w:val="00FA24C5"/>
    <w:rsid w:val="00FA2C19"/>
    <w:rsid w:val="00FA6406"/>
    <w:rsid w:val="00FA74A1"/>
    <w:rsid w:val="00FB00C7"/>
    <w:rsid w:val="00FB512D"/>
    <w:rsid w:val="00FC4199"/>
    <w:rsid w:val="00FD1227"/>
    <w:rsid w:val="00FD1C48"/>
    <w:rsid w:val="00FD3214"/>
    <w:rsid w:val="00FD4446"/>
    <w:rsid w:val="00FD46D5"/>
    <w:rsid w:val="00FD4A34"/>
    <w:rsid w:val="00FD5150"/>
    <w:rsid w:val="00FE2220"/>
    <w:rsid w:val="00FE3BC5"/>
    <w:rsid w:val="00FE3C4F"/>
    <w:rsid w:val="00FE3EC8"/>
    <w:rsid w:val="00FE537A"/>
    <w:rsid w:val="00FE7471"/>
    <w:rsid w:val="00FE7DB6"/>
    <w:rsid w:val="00FF17F3"/>
    <w:rsid w:val="00FF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30"/>
    <w:pPr>
      <w:suppressAutoHyphens/>
      <w:spacing w:line="276" w:lineRule="auto"/>
      <w:jc w:val="both"/>
    </w:pPr>
    <w:rPr>
      <w:rFonts w:ascii="Calibri" w:eastAsia="Calibri" w:hAnsi="Calibri" w:cs="font358"/>
      <w:sz w:val="22"/>
      <w:szCs w:val="22"/>
      <w:lang w:val="en-US" w:eastAsia="en-US"/>
    </w:rPr>
  </w:style>
  <w:style w:type="paragraph" w:styleId="1">
    <w:name w:val="heading 1"/>
    <w:basedOn w:val="a"/>
    <w:qFormat/>
    <w:rsid w:val="00972F30"/>
    <w:pPr>
      <w:keepNext/>
      <w:keepLines/>
      <w:numPr>
        <w:numId w:val="1"/>
      </w:numPr>
      <w:outlineLvl w:val="0"/>
    </w:pPr>
    <w:rPr>
      <w:rFonts w:cs="Calibri"/>
      <w:b/>
      <w:caps/>
      <w:sz w:val="24"/>
      <w:szCs w:val="24"/>
      <w:u w:val="single"/>
    </w:rPr>
  </w:style>
  <w:style w:type="paragraph" w:styleId="2">
    <w:name w:val="heading 2"/>
    <w:basedOn w:val="a"/>
    <w:qFormat/>
    <w:rsid w:val="00972F30"/>
    <w:pPr>
      <w:keepNext/>
      <w:keepLines/>
      <w:numPr>
        <w:ilvl w:val="1"/>
        <w:numId w:val="1"/>
      </w:numPr>
      <w:spacing w:before="240" w:line="240" w:lineRule="auto"/>
      <w:outlineLvl w:val="1"/>
    </w:pPr>
    <w:rPr>
      <w:rFonts w:eastAsia="Times New Roman" w:cs="Times New Roman"/>
      <w:b/>
      <w:caps/>
      <w:szCs w:val="24"/>
      <w:lang w:eastAsia="es-ES"/>
    </w:rPr>
  </w:style>
  <w:style w:type="paragraph" w:styleId="3">
    <w:name w:val="heading 3"/>
    <w:basedOn w:val="a"/>
    <w:autoRedefine/>
    <w:qFormat/>
    <w:rsid w:val="00660EA2"/>
    <w:pPr>
      <w:keepNext/>
      <w:numPr>
        <w:ilvl w:val="2"/>
        <w:numId w:val="5"/>
      </w:numPr>
      <w:spacing w:line="240" w:lineRule="auto"/>
      <w:ind w:left="0" w:firstLine="0"/>
      <w:jc w:val="left"/>
      <w:outlineLvl w:val="2"/>
    </w:pPr>
    <w:rPr>
      <w:rFonts w:eastAsia="Times New Roman" w:cs="Times New Roman"/>
      <w:b/>
      <w:bCs/>
      <w:szCs w:val="24"/>
    </w:rPr>
  </w:style>
  <w:style w:type="paragraph" w:styleId="4">
    <w:name w:val="heading 4"/>
    <w:basedOn w:val="a"/>
    <w:autoRedefine/>
    <w:qFormat/>
    <w:rsid w:val="00972F30"/>
    <w:pPr>
      <w:keepNext/>
      <w:numPr>
        <w:ilvl w:val="3"/>
        <w:numId w:val="1"/>
      </w:numPr>
      <w:spacing w:before="240" w:line="240" w:lineRule="auto"/>
      <w:outlineLvl w:val="3"/>
    </w:pPr>
    <w:rPr>
      <w:rFonts w:ascii="Arial" w:eastAsia="Times New Roman" w:hAnsi="Arial" w:cs="Times New Roman"/>
      <w:b/>
      <w:iCs/>
      <w:szCs w:val="24"/>
      <w:lang w:eastAsia="es-ES"/>
    </w:rPr>
  </w:style>
  <w:style w:type="paragraph" w:styleId="5">
    <w:name w:val="heading 5"/>
    <w:basedOn w:val="a"/>
    <w:autoRedefine/>
    <w:qFormat/>
    <w:rsid w:val="00972F30"/>
    <w:pPr>
      <w:keepNext/>
      <w:keepLines/>
      <w:numPr>
        <w:ilvl w:val="4"/>
        <w:numId w:val="1"/>
      </w:numPr>
      <w:spacing w:before="240" w:line="260" w:lineRule="exact"/>
      <w:outlineLvl w:val="4"/>
    </w:pPr>
    <w:rPr>
      <w:rFonts w:ascii="Arial" w:eastAsia="Times New Roman" w:hAnsi="Arial" w:cs="Times New Roman"/>
      <w:sz w:val="20"/>
      <w:szCs w:val="24"/>
      <w:lang w:eastAsia="es-ES"/>
    </w:rPr>
  </w:style>
  <w:style w:type="paragraph" w:styleId="6">
    <w:name w:val="heading 6"/>
    <w:basedOn w:val="a"/>
    <w:qFormat/>
    <w:rsid w:val="00972F30"/>
    <w:pPr>
      <w:keepNext/>
      <w:keepLines/>
      <w:numPr>
        <w:ilvl w:val="5"/>
        <w:numId w:val="1"/>
      </w:numPr>
      <w:spacing w:before="200" w:line="240" w:lineRule="auto"/>
      <w:outlineLvl w:val="5"/>
    </w:pPr>
    <w:rPr>
      <w:rFonts w:ascii="Cambria" w:eastAsia="Times New Roman" w:hAnsi="Cambria" w:cs="Times New Roman"/>
      <w:i/>
      <w:iCs/>
      <w:color w:val="243F60"/>
      <w:sz w:val="20"/>
      <w:szCs w:val="24"/>
      <w:lang w:eastAsia="es-ES"/>
    </w:rPr>
  </w:style>
  <w:style w:type="paragraph" w:styleId="7">
    <w:name w:val="heading 7"/>
    <w:basedOn w:val="a"/>
    <w:qFormat/>
    <w:rsid w:val="00972F30"/>
    <w:pPr>
      <w:keepNext/>
      <w:keepLines/>
      <w:numPr>
        <w:ilvl w:val="6"/>
        <w:numId w:val="1"/>
      </w:numPr>
      <w:spacing w:before="200" w:line="240" w:lineRule="auto"/>
      <w:outlineLvl w:val="6"/>
    </w:pPr>
    <w:rPr>
      <w:rFonts w:ascii="Cambria" w:eastAsia="Times New Roman" w:hAnsi="Cambria" w:cs="Times New Roman"/>
      <w:i/>
      <w:iCs/>
      <w:color w:val="404040"/>
      <w:sz w:val="20"/>
      <w:szCs w:val="24"/>
      <w:lang w:eastAsia="es-ES"/>
    </w:rPr>
  </w:style>
  <w:style w:type="paragraph" w:styleId="8">
    <w:name w:val="heading 8"/>
    <w:basedOn w:val="a"/>
    <w:qFormat/>
    <w:rsid w:val="00972F30"/>
    <w:pPr>
      <w:keepNext/>
      <w:keepLines/>
      <w:numPr>
        <w:ilvl w:val="7"/>
        <w:numId w:val="1"/>
      </w:numPr>
      <w:spacing w:before="200" w:line="240" w:lineRule="auto"/>
      <w:outlineLvl w:val="7"/>
    </w:pPr>
    <w:rPr>
      <w:rFonts w:ascii="Cambria" w:eastAsia="Times New Roman" w:hAnsi="Cambria" w:cs="Times New Roman"/>
      <w:color w:val="404040"/>
      <w:sz w:val="20"/>
      <w:szCs w:val="20"/>
      <w:lang w:eastAsia="es-ES"/>
    </w:rPr>
  </w:style>
  <w:style w:type="paragraph" w:styleId="9">
    <w:name w:val="heading 9"/>
    <w:basedOn w:val="a"/>
    <w:qFormat/>
    <w:rsid w:val="00972F30"/>
    <w:pPr>
      <w:keepNext/>
      <w:keepLines/>
      <w:numPr>
        <w:ilvl w:val="8"/>
        <w:numId w:val="1"/>
      </w:numPr>
      <w:spacing w:before="200" w:line="240" w:lineRule="auto"/>
      <w:outlineLvl w:val="8"/>
    </w:pPr>
    <w:rPr>
      <w:rFonts w:ascii="Cambria" w:eastAsia="Times New Roman" w:hAnsi="Cambria" w:cs="Times New Roman"/>
      <w:i/>
      <w:iCs/>
      <w:color w:val="404040"/>
      <w:sz w:val="20"/>
      <w:szCs w:val="20"/>
      <w:lang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rsid w:val="00972F30"/>
  </w:style>
  <w:style w:type="character" w:customStyle="1" w:styleId="10">
    <w:name w:val="Заголовок 1 Знак"/>
    <w:rsid w:val="00972F30"/>
    <w:rPr>
      <w:rFonts w:eastAsia="Calibri" w:cs="Calibri"/>
      <w:b/>
      <w:caps/>
      <w:sz w:val="24"/>
      <w:szCs w:val="24"/>
      <w:u w:val="single"/>
      <w:lang w:val="en-US"/>
    </w:rPr>
  </w:style>
  <w:style w:type="character" w:customStyle="1" w:styleId="20">
    <w:name w:val="Заголовок 2 Знак"/>
    <w:rsid w:val="00972F30"/>
    <w:rPr>
      <w:rFonts w:eastAsia="Times New Roman" w:cs="Times New Roman"/>
      <w:b/>
      <w:caps/>
      <w:szCs w:val="24"/>
      <w:lang w:val="en-US" w:eastAsia="es-ES"/>
    </w:rPr>
  </w:style>
  <w:style w:type="character" w:customStyle="1" w:styleId="a3">
    <w:name w:val="Основной текст Знак"/>
    <w:basedOn w:val="DefaultParagraphFont1"/>
    <w:rsid w:val="00972F30"/>
  </w:style>
  <w:style w:type="character" w:customStyle="1" w:styleId="30">
    <w:name w:val="Заголовок 3 Знак"/>
    <w:rsid w:val="00972F30"/>
    <w:rPr>
      <w:rFonts w:eastAsia="Times New Roman" w:cs="Times New Roman"/>
      <w:b/>
      <w:bCs/>
      <w:sz w:val="20"/>
      <w:szCs w:val="24"/>
      <w:lang w:val="en-US"/>
    </w:rPr>
  </w:style>
  <w:style w:type="character" w:customStyle="1" w:styleId="40">
    <w:name w:val="Заголовок 4 Знак"/>
    <w:rsid w:val="00972F30"/>
    <w:rPr>
      <w:rFonts w:ascii="Arial" w:eastAsia="Times New Roman" w:hAnsi="Arial" w:cs="Times New Roman"/>
      <w:b/>
      <w:iCs/>
      <w:szCs w:val="24"/>
      <w:lang w:val="en-US" w:eastAsia="es-ES"/>
    </w:rPr>
  </w:style>
  <w:style w:type="character" w:customStyle="1" w:styleId="50">
    <w:name w:val="Заголовок 5 Знак"/>
    <w:rsid w:val="00972F30"/>
    <w:rPr>
      <w:rFonts w:ascii="Arial" w:eastAsia="Times New Roman" w:hAnsi="Arial" w:cs="Times New Roman"/>
      <w:sz w:val="20"/>
      <w:szCs w:val="24"/>
      <w:lang w:val="en-US" w:eastAsia="es-ES"/>
    </w:rPr>
  </w:style>
  <w:style w:type="character" w:customStyle="1" w:styleId="60">
    <w:name w:val="Заголовок 6 Знак"/>
    <w:rsid w:val="00972F30"/>
    <w:rPr>
      <w:rFonts w:ascii="Cambria" w:eastAsia="Times New Roman" w:hAnsi="Cambria" w:cs="Times New Roman"/>
      <w:i/>
      <w:iCs/>
      <w:color w:val="243F60"/>
      <w:sz w:val="20"/>
      <w:szCs w:val="24"/>
      <w:lang w:val="en-US" w:eastAsia="es-ES"/>
    </w:rPr>
  </w:style>
  <w:style w:type="character" w:customStyle="1" w:styleId="70">
    <w:name w:val="Заголовок 7 Знак"/>
    <w:rsid w:val="00972F30"/>
    <w:rPr>
      <w:rFonts w:ascii="Cambria" w:eastAsia="Times New Roman" w:hAnsi="Cambria" w:cs="Times New Roman"/>
      <w:i/>
      <w:iCs/>
      <w:color w:val="404040"/>
      <w:sz w:val="20"/>
      <w:szCs w:val="24"/>
      <w:lang w:val="en-US" w:eastAsia="es-ES"/>
    </w:rPr>
  </w:style>
  <w:style w:type="character" w:customStyle="1" w:styleId="80">
    <w:name w:val="Заголовок 8 Знак"/>
    <w:rsid w:val="00972F30"/>
    <w:rPr>
      <w:rFonts w:ascii="Cambria" w:eastAsia="Times New Roman" w:hAnsi="Cambria" w:cs="Times New Roman"/>
      <w:color w:val="404040"/>
      <w:sz w:val="20"/>
      <w:szCs w:val="20"/>
      <w:lang w:val="en-US" w:eastAsia="es-ES"/>
    </w:rPr>
  </w:style>
  <w:style w:type="character" w:customStyle="1" w:styleId="90">
    <w:name w:val="Заголовок 9 Знак"/>
    <w:rsid w:val="00972F30"/>
    <w:rPr>
      <w:rFonts w:ascii="Cambria" w:eastAsia="Times New Roman" w:hAnsi="Cambria" w:cs="Times New Roman"/>
      <w:i/>
      <w:iCs/>
      <w:color w:val="404040"/>
      <w:sz w:val="20"/>
      <w:szCs w:val="20"/>
      <w:lang w:val="en-US" w:eastAsia="es-ES"/>
    </w:rPr>
  </w:style>
  <w:style w:type="character" w:customStyle="1" w:styleId="a4">
    <w:name w:val="Нижний колонтитул Знак"/>
    <w:rsid w:val="00972F30"/>
    <w:rPr>
      <w:sz w:val="18"/>
      <w:lang w:val="en-US"/>
    </w:rPr>
  </w:style>
  <w:style w:type="character" w:customStyle="1" w:styleId="a5">
    <w:name w:val="Верхний колонтитул Знак"/>
    <w:aliases w:val="h Знак,Header ESE Знак,Header 1 Знак,h4 Знак,Header Title Знак"/>
    <w:rsid w:val="00972F30"/>
    <w:rPr>
      <w:sz w:val="16"/>
      <w:lang w:val="en-US"/>
    </w:rPr>
  </w:style>
  <w:style w:type="character" w:customStyle="1" w:styleId="a6">
    <w:name w:val="Название Знак"/>
    <w:rsid w:val="00972F30"/>
    <w:rPr>
      <w:rFonts w:eastAsia="Times New Roman" w:cs="Times New Roman"/>
      <w:b/>
      <w:bCs/>
      <w:sz w:val="32"/>
      <w:szCs w:val="24"/>
      <w:u w:val="single"/>
      <w:lang w:val="es-ES" w:eastAsia="es-ES"/>
    </w:rPr>
  </w:style>
  <w:style w:type="character" w:customStyle="1" w:styleId="a7">
    <w:name w:val="Текст выноски Знак"/>
    <w:rsid w:val="00972F30"/>
    <w:rPr>
      <w:rFonts w:ascii="Tahoma" w:eastAsia="Times New Roman" w:hAnsi="Tahoma" w:cs="Tahoma"/>
      <w:sz w:val="16"/>
      <w:szCs w:val="16"/>
      <w:lang w:val="en-GB" w:eastAsia="es-ES"/>
    </w:rPr>
  </w:style>
  <w:style w:type="character" w:styleId="a8">
    <w:name w:val="Hyperlink"/>
    <w:uiPriority w:val="99"/>
    <w:rsid w:val="00972F30"/>
    <w:rPr>
      <w:color w:val="0000FF"/>
      <w:u w:val="single"/>
    </w:rPr>
  </w:style>
  <w:style w:type="character" w:customStyle="1" w:styleId="a9">
    <w:name w:val="Без интервала Знак"/>
    <w:rsid w:val="00972F30"/>
    <w:rPr>
      <w:rFonts w:ascii="Calibri" w:eastAsia="Calibri" w:hAnsi="Calibri" w:cs="Times New Roman"/>
      <w:lang w:val="en-GB"/>
    </w:rPr>
  </w:style>
  <w:style w:type="character" w:customStyle="1" w:styleId="aa">
    <w:name w:val="Абзац списка Знак"/>
    <w:rsid w:val="00972F30"/>
    <w:rPr>
      <w:rFonts w:eastAsia="Calibri" w:cs="Calibri"/>
      <w:lang w:val="en-US"/>
    </w:rPr>
  </w:style>
  <w:style w:type="character" w:customStyle="1" w:styleId="Strong1">
    <w:name w:val="Strong1"/>
    <w:rsid w:val="00972F30"/>
    <w:rPr>
      <w:b/>
      <w:bCs/>
    </w:rPr>
  </w:style>
  <w:style w:type="character" w:customStyle="1" w:styleId="ab">
    <w:name w:val="Маркированный список Знак"/>
    <w:rsid w:val="00972F30"/>
    <w:rPr>
      <w:rFonts w:ascii="Arial" w:eastAsia="Times New Roman" w:hAnsi="Arial" w:cs="Times New Roman"/>
      <w:sz w:val="20"/>
      <w:szCs w:val="20"/>
      <w:lang w:val="en-US"/>
    </w:rPr>
  </w:style>
  <w:style w:type="character" w:customStyle="1" w:styleId="ac">
    <w:name w:val="Обычный отступ Знак"/>
    <w:rsid w:val="00972F30"/>
    <w:rPr>
      <w:rFonts w:ascii="Arial" w:hAnsi="Arial"/>
      <w:lang w:val="en-GB"/>
    </w:rPr>
  </w:style>
  <w:style w:type="character" w:customStyle="1" w:styleId="31">
    <w:name w:val="Основной текст с отступом 3 Знак"/>
    <w:rsid w:val="00972F30"/>
    <w:rPr>
      <w:rFonts w:ascii="Arial" w:eastAsia="Times New Roman" w:hAnsi="Arial" w:cs="Times New Roman"/>
      <w:sz w:val="16"/>
      <w:szCs w:val="16"/>
      <w:lang w:val="en-GB" w:eastAsia="es-ES"/>
    </w:rPr>
  </w:style>
  <w:style w:type="character" w:customStyle="1" w:styleId="FollowedHyperlink1">
    <w:name w:val="FollowedHyperlink1"/>
    <w:rsid w:val="00972F30"/>
    <w:rPr>
      <w:color w:val="954F72"/>
      <w:u w:val="single"/>
    </w:rPr>
  </w:style>
  <w:style w:type="character" w:customStyle="1" w:styleId="SubtleEmphasis1">
    <w:name w:val="Subtle Emphasis1"/>
    <w:rsid w:val="00972F30"/>
    <w:rPr>
      <w:i/>
      <w:iCs/>
      <w:color w:val="808080"/>
    </w:rPr>
  </w:style>
  <w:style w:type="character" w:customStyle="1" w:styleId="UnresolvedMention1">
    <w:name w:val="Unresolved Mention1"/>
    <w:rsid w:val="00972F30"/>
    <w:rPr>
      <w:color w:val="808080"/>
      <w:shd w:val="clear" w:color="auto" w:fill="E6E6E6"/>
    </w:rPr>
  </w:style>
  <w:style w:type="character" w:customStyle="1" w:styleId="ad">
    <w:name w:val="Основной текст_"/>
    <w:rsid w:val="00972F30"/>
    <w:rPr>
      <w:rFonts w:ascii="Arial" w:eastAsia="Arial" w:hAnsi="Arial" w:cs="Arial"/>
      <w:spacing w:val="1"/>
      <w:sz w:val="20"/>
      <w:szCs w:val="20"/>
      <w:shd w:val="clear" w:color="auto" w:fill="FFFFFF"/>
    </w:rPr>
  </w:style>
  <w:style w:type="character" w:customStyle="1" w:styleId="SubtleEmphasis2">
    <w:name w:val="Subtle Emphasis2"/>
    <w:rsid w:val="00972F30"/>
    <w:rPr>
      <w:i/>
      <w:iCs/>
      <w:color w:val="404040"/>
    </w:rPr>
  </w:style>
  <w:style w:type="character" w:customStyle="1" w:styleId="shorttext">
    <w:name w:val="short_text"/>
    <w:basedOn w:val="DefaultParagraphFont1"/>
    <w:rsid w:val="00972F30"/>
  </w:style>
  <w:style w:type="character" w:customStyle="1" w:styleId="alt-edited">
    <w:name w:val="alt-edited"/>
    <w:basedOn w:val="DefaultParagraphFont1"/>
    <w:rsid w:val="00972F30"/>
  </w:style>
  <w:style w:type="character" w:styleId="ae">
    <w:name w:val="footnote reference"/>
    <w:rsid w:val="00972F30"/>
    <w:rPr>
      <w:vertAlign w:val="superscript"/>
    </w:rPr>
  </w:style>
  <w:style w:type="character" w:customStyle="1" w:styleId="FootnoteCharacters">
    <w:name w:val="Footnote Characters"/>
    <w:rsid w:val="00972F30"/>
    <w:rPr>
      <w:vertAlign w:val="superscript"/>
    </w:rPr>
  </w:style>
  <w:style w:type="character" w:customStyle="1" w:styleId="BookTitle1">
    <w:name w:val="Book Title1"/>
    <w:rsid w:val="00972F30"/>
    <w:rPr>
      <w:b/>
      <w:bCs/>
      <w:color w:val="002060"/>
      <w:spacing w:val="5"/>
      <w:sz w:val="36"/>
      <w:szCs w:val="36"/>
    </w:rPr>
  </w:style>
  <w:style w:type="character" w:customStyle="1" w:styleId="Report3Zchn">
    <w:name w:val="Report 3 Zchn"/>
    <w:rsid w:val="00972F30"/>
    <w:rPr>
      <w:sz w:val="24"/>
      <w:u w:val="single"/>
      <w:lang w:val="en-US"/>
    </w:rPr>
  </w:style>
  <w:style w:type="character" w:customStyle="1" w:styleId="Report4Zchn">
    <w:name w:val="Report 4 Zchn"/>
    <w:rsid w:val="00972F30"/>
    <w:rPr>
      <w:sz w:val="24"/>
      <w:u w:val="single"/>
      <w:lang w:val="en-US"/>
    </w:rPr>
  </w:style>
  <w:style w:type="character" w:customStyle="1" w:styleId="PlaceholderText1">
    <w:name w:val="Placeholder Text1"/>
    <w:rsid w:val="00972F30"/>
    <w:rPr>
      <w:color w:val="808080"/>
    </w:rPr>
  </w:style>
  <w:style w:type="character" w:customStyle="1" w:styleId="ListLabel1">
    <w:name w:val="ListLabel 1"/>
    <w:rsid w:val="00972F30"/>
    <w:rPr>
      <w:rFonts w:eastAsia="Times New Roman" w:cs="Times New Roman"/>
    </w:rPr>
  </w:style>
  <w:style w:type="character" w:customStyle="1" w:styleId="ListLabel2">
    <w:name w:val="ListLabel 2"/>
    <w:rsid w:val="00972F30"/>
    <w:rPr>
      <w:rFonts w:eastAsia="Calibri" w:cs="Calibri"/>
      <w:sz w:val="24"/>
    </w:rPr>
  </w:style>
  <w:style w:type="character" w:customStyle="1" w:styleId="ListLabel3">
    <w:name w:val="ListLabel 3"/>
    <w:rsid w:val="00972F30"/>
    <w:rPr>
      <w:rFonts w:cs="Courier New"/>
    </w:rPr>
  </w:style>
  <w:style w:type="character" w:customStyle="1" w:styleId="ListLabel4">
    <w:name w:val="ListLabel 4"/>
    <w:rsid w:val="00972F30"/>
    <w:rPr>
      <w:rFonts w:cs="Courier New"/>
    </w:rPr>
  </w:style>
  <w:style w:type="character" w:customStyle="1" w:styleId="ListLabel5">
    <w:name w:val="ListLabel 5"/>
    <w:rsid w:val="00972F30"/>
    <w:rPr>
      <w:rFonts w:cs="Courier New"/>
    </w:rPr>
  </w:style>
  <w:style w:type="character" w:customStyle="1" w:styleId="ListLabel6">
    <w:name w:val="ListLabel 6"/>
    <w:rsid w:val="00972F30"/>
    <w:rPr>
      <w:color w:val="auto"/>
    </w:rPr>
  </w:style>
  <w:style w:type="character" w:customStyle="1" w:styleId="ListLabel7">
    <w:name w:val="ListLabel 7"/>
    <w:rsid w:val="00972F30"/>
    <w:rPr>
      <w:rFonts w:eastAsia="Calibri" w:cs="Calibri"/>
    </w:rPr>
  </w:style>
  <w:style w:type="character" w:customStyle="1" w:styleId="ListLabel8">
    <w:name w:val="ListLabel 8"/>
    <w:rsid w:val="00972F30"/>
    <w:rPr>
      <w:rFonts w:cs="Courier New"/>
    </w:rPr>
  </w:style>
  <w:style w:type="character" w:customStyle="1" w:styleId="ListLabel9">
    <w:name w:val="ListLabel 9"/>
    <w:rsid w:val="00972F30"/>
    <w:rPr>
      <w:rFonts w:cs="Courier New"/>
    </w:rPr>
  </w:style>
  <w:style w:type="character" w:customStyle="1" w:styleId="ListLabel10">
    <w:name w:val="ListLabel 10"/>
    <w:rsid w:val="00972F30"/>
    <w:rPr>
      <w:color w:val="auto"/>
    </w:rPr>
  </w:style>
  <w:style w:type="character" w:customStyle="1" w:styleId="ListLabel11">
    <w:name w:val="ListLabel 11"/>
    <w:rsid w:val="00972F30"/>
    <w:rPr>
      <w:rFonts w:eastAsia="Calibri" w:cs="Calibri"/>
    </w:rPr>
  </w:style>
  <w:style w:type="character" w:customStyle="1" w:styleId="ListLabel12">
    <w:name w:val="ListLabel 12"/>
    <w:rsid w:val="00972F30"/>
    <w:rPr>
      <w:rFonts w:cs="Courier New"/>
    </w:rPr>
  </w:style>
  <w:style w:type="character" w:customStyle="1" w:styleId="ListLabel13">
    <w:name w:val="ListLabel 13"/>
    <w:rsid w:val="00972F30"/>
    <w:rPr>
      <w:rFonts w:cs="Courier New"/>
    </w:rPr>
  </w:style>
  <w:style w:type="character" w:customStyle="1" w:styleId="ListLabel14">
    <w:name w:val="ListLabel 14"/>
    <w:rsid w:val="00972F30"/>
    <w:rPr>
      <w:rFonts w:cs="Courier New"/>
    </w:rPr>
  </w:style>
  <w:style w:type="character" w:customStyle="1" w:styleId="ListLabel15">
    <w:name w:val="ListLabel 15"/>
    <w:rsid w:val="00972F30"/>
    <w:rPr>
      <w:rFonts w:cs="Courier New"/>
    </w:rPr>
  </w:style>
  <w:style w:type="character" w:customStyle="1" w:styleId="ListLabel16">
    <w:name w:val="ListLabel 16"/>
    <w:rsid w:val="00972F30"/>
    <w:rPr>
      <w:rFonts w:cs="Courier New"/>
    </w:rPr>
  </w:style>
  <w:style w:type="character" w:customStyle="1" w:styleId="ListLabel17">
    <w:name w:val="ListLabel 17"/>
    <w:rsid w:val="00972F30"/>
    <w:rPr>
      <w:b w:val="0"/>
    </w:rPr>
  </w:style>
  <w:style w:type="character" w:customStyle="1" w:styleId="ListLabel18">
    <w:name w:val="ListLabel 18"/>
    <w:rsid w:val="00972F30"/>
    <w:rPr>
      <w:rFonts w:eastAsia="Times New Roman" w:cs="Times New Roman"/>
      <w:sz w:val="22"/>
    </w:rPr>
  </w:style>
  <w:style w:type="character" w:customStyle="1" w:styleId="ListLabel19">
    <w:name w:val="ListLabel 19"/>
    <w:rsid w:val="00972F30"/>
    <w:rPr>
      <w:rFonts w:cs="Courier New"/>
    </w:rPr>
  </w:style>
  <w:style w:type="character" w:customStyle="1" w:styleId="ListLabel20">
    <w:name w:val="ListLabel 20"/>
    <w:rsid w:val="00972F30"/>
    <w:rPr>
      <w:rFonts w:cs="Courier New"/>
    </w:rPr>
  </w:style>
  <w:style w:type="character" w:customStyle="1" w:styleId="ListLabel21">
    <w:name w:val="ListLabel 21"/>
    <w:rsid w:val="00972F30"/>
    <w:rPr>
      <w:rFonts w:cs="Courier New"/>
    </w:rPr>
  </w:style>
  <w:style w:type="character" w:customStyle="1" w:styleId="ListLabel22">
    <w:name w:val="ListLabel 22"/>
    <w:rsid w:val="00972F30"/>
    <w:rPr>
      <w:b/>
      <w:sz w:val="22"/>
    </w:rPr>
  </w:style>
  <w:style w:type="character" w:customStyle="1" w:styleId="ListLabel23">
    <w:name w:val="ListLabel 23"/>
    <w:rsid w:val="00972F30"/>
    <w:rPr>
      <w:rFonts w:cs="Courier New"/>
    </w:rPr>
  </w:style>
  <w:style w:type="character" w:customStyle="1" w:styleId="ListLabel24">
    <w:name w:val="ListLabel 24"/>
    <w:rsid w:val="00972F30"/>
    <w:rPr>
      <w:rFonts w:cs="Courier New"/>
    </w:rPr>
  </w:style>
  <w:style w:type="character" w:customStyle="1" w:styleId="ListLabel25">
    <w:name w:val="ListLabel 25"/>
    <w:rsid w:val="00972F30"/>
    <w:rPr>
      <w:rFonts w:cs="Courier New"/>
    </w:rPr>
  </w:style>
  <w:style w:type="character" w:customStyle="1" w:styleId="ListLabel26">
    <w:name w:val="ListLabel 26"/>
    <w:rsid w:val="00972F30"/>
    <w:rPr>
      <w:rFonts w:cs="Courier New"/>
    </w:rPr>
  </w:style>
  <w:style w:type="character" w:customStyle="1" w:styleId="ListLabel27">
    <w:name w:val="ListLabel 27"/>
    <w:rsid w:val="00972F30"/>
    <w:rPr>
      <w:rFonts w:cs="Courier New"/>
    </w:rPr>
  </w:style>
  <w:style w:type="character" w:customStyle="1" w:styleId="ListLabel28">
    <w:name w:val="ListLabel 28"/>
    <w:rsid w:val="00972F30"/>
    <w:rPr>
      <w:rFonts w:cs="Courier New"/>
    </w:rPr>
  </w:style>
  <w:style w:type="character" w:customStyle="1" w:styleId="ListLabel29">
    <w:name w:val="ListLabel 29"/>
    <w:rsid w:val="00972F30"/>
    <w:rPr>
      <w:rFonts w:eastAsia="Times New Roman" w:cs="Calibri"/>
      <w:sz w:val="20"/>
      <w:szCs w:val="20"/>
    </w:rPr>
  </w:style>
  <w:style w:type="character" w:customStyle="1" w:styleId="ListLabel30">
    <w:name w:val="ListLabel 30"/>
    <w:rsid w:val="00972F30"/>
  </w:style>
  <w:style w:type="character" w:customStyle="1" w:styleId="ListLabel31">
    <w:name w:val="ListLabel 31"/>
    <w:rsid w:val="00972F30"/>
    <w:rPr>
      <w:lang w:val="de-DE"/>
    </w:rPr>
  </w:style>
  <w:style w:type="character" w:customStyle="1" w:styleId="ListLabel32">
    <w:name w:val="ListLabel 32"/>
    <w:rsid w:val="00972F30"/>
    <w:rPr>
      <w:rFonts w:eastAsia="Times New Roman" w:cs="Calibri"/>
    </w:rPr>
  </w:style>
  <w:style w:type="character" w:customStyle="1" w:styleId="ListLabel33">
    <w:name w:val="ListLabel 33"/>
    <w:rsid w:val="00972F30"/>
    <w:rPr>
      <w:rFonts w:ascii="Cambria" w:eastAsia="Times New Roman" w:hAnsi="Cambria" w:cs="Times New Roman"/>
      <w:b/>
      <w:bCs/>
      <w:caps/>
      <w:sz w:val="24"/>
      <w:szCs w:val="24"/>
      <w:lang w:eastAsia="es-ES"/>
    </w:rPr>
  </w:style>
  <w:style w:type="character" w:customStyle="1" w:styleId="af">
    <w:name w:val="Ссылка указателя"/>
    <w:rsid w:val="00972F30"/>
  </w:style>
  <w:style w:type="paragraph" w:customStyle="1" w:styleId="af0">
    <w:name w:val="Заголовок"/>
    <w:basedOn w:val="a"/>
    <w:next w:val="af1"/>
    <w:rsid w:val="00972F30"/>
    <w:pPr>
      <w:keepNext/>
      <w:spacing w:before="240" w:after="120"/>
    </w:pPr>
    <w:rPr>
      <w:rFonts w:ascii="Liberation Sans" w:eastAsia="Microsoft YaHei" w:hAnsi="Liberation Sans" w:cs="Mangal"/>
      <w:sz w:val="28"/>
      <w:szCs w:val="28"/>
    </w:rPr>
  </w:style>
  <w:style w:type="paragraph" w:styleId="af1">
    <w:name w:val="Body Text"/>
    <w:basedOn w:val="a"/>
    <w:rsid w:val="00972F30"/>
    <w:pPr>
      <w:spacing w:after="120"/>
    </w:pPr>
  </w:style>
  <w:style w:type="paragraph" w:styleId="af2">
    <w:name w:val="List"/>
    <w:basedOn w:val="a"/>
    <w:rsid w:val="00972F30"/>
    <w:pPr>
      <w:ind w:left="283" w:hanging="283"/>
      <w:contextualSpacing/>
    </w:pPr>
  </w:style>
  <w:style w:type="paragraph" w:styleId="af3">
    <w:name w:val="caption"/>
    <w:basedOn w:val="a"/>
    <w:qFormat/>
    <w:rsid w:val="00972F30"/>
    <w:pPr>
      <w:suppressLineNumbers/>
      <w:spacing w:before="120" w:after="120"/>
    </w:pPr>
    <w:rPr>
      <w:rFonts w:cs="Mangal"/>
      <w:i/>
      <w:iCs/>
      <w:sz w:val="24"/>
      <w:szCs w:val="24"/>
    </w:rPr>
  </w:style>
  <w:style w:type="paragraph" w:customStyle="1" w:styleId="11">
    <w:name w:val="Указатель1"/>
    <w:basedOn w:val="a"/>
    <w:rsid w:val="00972F30"/>
    <w:pPr>
      <w:suppressLineNumbers/>
    </w:pPr>
    <w:rPr>
      <w:rFonts w:cs="Mangal"/>
    </w:rPr>
  </w:style>
  <w:style w:type="paragraph" w:customStyle="1" w:styleId="HeadingNoNumber">
    <w:name w:val="Heading No Number"/>
    <w:basedOn w:val="1"/>
    <w:rsid w:val="00972F30"/>
    <w:pPr>
      <w:keepLines w:val="0"/>
      <w:pageBreakBefore/>
      <w:widowControl w:val="0"/>
      <w:numPr>
        <w:numId w:val="0"/>
      </w:numPr>
      <w:pBdr>
        <w:top w:val="single" w:sz="18" w:space="10" w:color="99CCFF"/>
        <w:left w:val="none" w:sz="0" w:space="0" w:color="000000"/>
        <w:bottom w:val="single" w:sz="18" w:space="10" w:color="99CCFF"/>
        <w:right w:val="none" w:sz="0" w:space="0" w:color="000000"/>
      </w:pBdr>
      <w:tabs>
        <w:tab w:val="left" w:pos="284"/>
        <w:tab w:val="left" w:pos="1418"/>
      </w:tabs>
      <w:spacing w:after="240" w:line="240" w:lineRule="auto"/>
      <w:ind w:left="284"/>
    </w:pPr>
    <w:rPr>
      <w:rFonts w:ascii="Arial" w:eastAsia="Times New Roman" w:hAnsi="Arial" w:cs="Arial"/>
      <w:b w:val="0"/>
      <w:bCs/>
      <w:smallCaps/>
      <w:color w:val="000080"/>
      <w:kern w:val="2"/>
      <w:sz w:val="28"/>
      <w:szCs w:val="28"/>
    </w:rPr>
  </w:style>
  <w:style w:type="paragraph" w:styleId="af4">
    <w:name w:val="header"/>
    <w:aliases w:val="h,Header ESE,Header 1,h4,Header Title"/>
    <w:basedOn w:val="af5"/>
    <w:rsid w:val="00972F30"/>
    <w:pPr>
      <w:jc w:val="center"/>
    </w:pPr>
    <w:rPr>
      <w:sz w:val="16"/>
    </w:rPr>
  </w:style>
  <w:style w:type="paragraph" w:styleId="af5">
    <w:name w:val="footer"/>
    <w:basedOn w:val="a"/>
    <w:autoRedefine/>
    <w:rsid w:val="00755668"/>
    <w:pPr>
      <w:tabs>
        <w:tab w:val="center" w:pos="4536"/>
        <w:tab w:val="right" w:pos="9498"/>
      </w:tabs>
      <w:spacing w:line="240" w:lineRule="auto"/>
    </w:pPr>
    <w:rPr>
      <w:sz w:val="18"/>
    </w:rPr>
  </w:style>
  <w:style w:type="paragraph" w:styleId="af6">
    <w:name w:val="Title"/>
    <w:basedOn w:val="a"/>
    <w:qFormat/>
    <w:rsid w:val="00972F30"/>
    <w:pPr>
      <w:tabs>
        <w:tab w:val="left" w:pos="851"/>
        <w:tab w:val="left" w:pos="1134"/>
        <w:tab w:val="left" w:leader="dot" w:pos="7938"/>
        <w:tab w:val="left" w:pos="8051"/>
      </w:tabs>
      <w:spacing w:line="240" w:lineRule="auto"/>
    </w:pPr>
    <w:rPr>
      <w:rFonts w:eastAsia="Times New Roman" w:cs="Times New Roman"/>
      <w:b/>
      <w:bCs/>
      <w:sz w:val="32"/>
      <w:szCs w:val="24"/>
      <w:u w:val="single"/>
      <w:lang w:val="es-ES" w:eastAsia="es-ES"/>
    </w:rPr>
  </w:style>
  <w:style w:type="paragraph" w:styleId="32">
    <w:name w:val="toc 3"/>
    <w:basedOn w:val="a"/>
    <w:autoRedefine/>
    <w:rsid w:val="00972F30"/>
    <w:pPr>
      <w:tabs>
        <w:tab w:val="right" w:pos="9356"/>
      </w:tabs>
      <w:spacing w:line="240" w:lineRule="auto"/>
    </w:pPr>
    <w:rPr>
      <w:rFonts w:eastAsia="Times New Roman" w:cs="Times New Roman"/>
      <w:sz w:val="20"/>
      <w:szCs w:val="20"/>
      <w:lang w:eastAsia="es-ES"/>
    </w:rPr>
  </w:style>
  <w:style w:type="paragraph" w:customStyle="1" w:styleId="NormalWeb1">
    <w:name w:val="Normal (Web)1"/>
    <w:basedOn w:val="a"/>
    <w:rsid w:val="00972F30"/>
    <w:pPr>
      <w:spacing w:before="280" w:after="280" w:line="240" w:lineRule="auto"/>
    </w:pPr>
    <w:rPr>
      <w:rFonts w:ascii="Arial" w:eastAsia="Times New Roman" w:hAnsi="Arial" w:cs="Times New Roman"/>
      <w:sz w:val="20"/>
      <w:szCs w:val="24"/>
      <w:lang w:eastAsia="es-ES"/>
    </w:rPr>
  </w:style>
  <w:style w:type="paragraph" w:customStyle="1" w:styleId="BalloonText1">
    <w:name w:val="Balloon Text1"/>
    <w:basedOn w:val="a"/>
    <w:rsid w:val="00972F30"/>
    <w:pPr>
      <w:spacing w:line="240" w:lineRule="auto"/>
    </w:pPr>
    <w:rPr>
      <w:rFonts w:ascii="Tahoma" w:eastAsia="Times New Roman" w:hAnsi="Tahoma" w:cs="Tahoma"/>
      <w:sz w:val="16"/>
      <w:szCs w:val="16"/>
      <w:lang w:eastAsia="es-ES"/>
    </w:rPr>
  </w:style>
  <w:style w:type="paragraph" w:customStyle="1" w:styleId="12">
    <w:name w:val="Название объекта1"/>
    <w:basedOn w:val="a"/>
    <w:rsid w:val="00972F30"/>
    <w:pPr>
      <w:keepNext/>
      <w:spacing w:line="240" w:lineRule="auto"/>
    </w:pPr>
    <w:rPr>
      <w:rFonts w:eastAsia="Times New Roman" w:cs="Times New Roman"/>
      <w:b/>
      <w:bCs/>
      <w:szCs w:val="18"/>
      <w:lang w:eastAsia="es-ES"/>
    </w:rPr>
  </w:style>
  <w:style w:type="paragraph" w:styleId="13">
    <w:name w:val="toc 1"/>
    <w:basedOn w:val="a"/>
    <w:autoRedefine/>
    <w:uiPriority w:val="39"/>
    <w:rsid w:val="00972F30"/>
    <w:pPr>
      <w:tabs>
        <w:tab w:val="left" w:pos="900"/>
        <w:tab w:val="right" w:leader="dot" w:pos="9090"/>
      </w:tabs>
      <w:spacing w:before="120" w:line="240" w:lineRule="auto"/>
    </w:pPr>
    <w:rPr>
      <w:rFonts w:ascii="Cambria" w:eastAsia="Times New Roman" w:hAnsi="Cambria" w:cs="Times New Roman"/>
      <w:b/>
      <w:bCs/>
      <w:caps/>
      <w:sz w:val="24"/>
      <w:szCs w:val="24"/>
      <w:lang w:eastAsia="es-ES"/>
    </w:rPr>
  </w:style>
  <w:style w:type="paragraph" w:styleId="21">
    <w:name w:val="toc 2"/>
    <w:basedOn w:val="a"/>
    <w:autoRedefine/>
    <w:uiPriority w:val="39"/>
    <w:rsid w:val="00972F30"/>
    <w:pPr>
      <w:spacing w:before="240" w:line="240" w:lineRule="auto"/>
    </w:pPr>
    <w:rPr>
      <w:rFonts w:eastAsia="Times New Roman" w:cs="Times New Roman"/>
      <w:b/>
      <w:bCs/>
      <w:sz w:val="20"/>
      <w:szCs w:val="20"/>
      <w:lang w:eastAsia="es-ES"/>
    </w:rPr>
  </w:style>
  <w:style w:type="paragraph" w:styleId="41">
    <w:name w:val="toc 4"/>
    <w:basedOn w:val="a"/>
    <w:autoRedefine/>
    <w:rsid w:val="00972F30"/>
    <w:pPr>
      <w:spacing w:line="240" w:lineRule="auto"/>
      <w:ind w:left="400"/>
    </w:pPr>
    <w:rPr>
      <w:rFonts w:eastAsia="Times New Roman" w:cs="Times New Roman"/>
      <w:sz w:val="20"/>
      <w:szCs w:val="20"/>
      <w:lang w:eastAsia="es-ES"/>
    </w:rPr>
  </w:style>
  <w:style w:type="paragraph" w:styleId="51">
    <w:name w:val="toc 5"/>
    <w:basedOn w:val="a"/>
    <w:autoRedefine/>
    <w:rsid w:val="00972F30"/>
    <w:pPr>
      <w:spacing w:line="240" w:lineRule="auto"/>
      <w:ind w:left="600"/>
    </w:pPr>
    <w:rPr>
      <w:rFonts w:eastAsia="Times New Roman" w:cs="Times New Roman"/>
      <w:sz w:val="20"/>
      <w:szCs w:val="20"/>
      <w:lang w:eastAsia="es-ES"/>
    </w:rPr>
  </w:style>
  <w:style w:type="paragraph" w:styleId="61">
    <w:name w:val="toc 6"/>
    <w:basedOn w:val="a"/>
    <w:autoRedefine/>
    <w:rsid w:val="00972F30"/>
    <w:pPr>
      <w:spacing w:line="240" w:lineRule="auto"/>
      <w:ind w:left="800"/>
    </w:pPr>
    <w:rPr>
      <w:rFonts w:eastAsia="Times New Roman" w:cs="Times New Roman"/>
      <w:sz w:val="20"/>
      <w:szCs w:val="20"/>
      <w:lang w:eastAsia="es-ES"/>
    </w:rPr>
  </w:style>
  <w:style w:type="paragraph" w:styleId="71">
    <w:name w:val="toc 7"/>
    <w:basedOn w:val="a"/>
    <w:autoRedefine/>
    <w:rsid w:val="00972F30"/>
    <w:pPr>
      <w:spacing w:line="240" w:lineRule="auto"/>
      <w:ind w:left="1000"/>
    </w:pPr>
    <w:rPr>
      <w:rFonts w:eastAsia="Times New Roman" w:cs="Times New Roman"/>
      <w:sz w:val="20"/>
      <w:szCs w:val="20"/>
      <w:lang w:eastAsia="es-ES"/>
    </w:rPr>
  </w:style>
  <w:style w:type="paragraph" w:styleId="81">
    <w:name w:val="toc 8"/>
    <w:basedOn w:val="a"/>
    <w:autoRedefine/>
    <w:rsid w:val="00972F30"/>
    <w:pPr>
      <w:spacing w:line="240" w:lineRule="auto"/>
      <w:ind w:left="1200"/>
    </w:pPr>
    <w:rPr>
      <w:rFonts w:eastAsia="Times New Roman" w:cs="Times New Roman"/>
      <w:sz w:val="20"/>
      <w:szCs w:val="20"/>
      <w:lang w:eastAsia="es-ES"/>
    </w:rPr>
  </w:style>
  <w:style w:type="paragraph" w:styleId="91">
    <w:name w:val="toc 9"/>
    <w:basedOn w:val="a"/>
    <w:autoRedefine/>
    <w:rsid w:val="00972F30"/>
    <w:pPr>
      <w:spacing w:line="240" w:lineRule="auto"/>
      <w:ind w:left="1400"/>
    </w:pPr>
    <w:rPr>
      <w:rFonts w:eastAsia="Times New Roman" w:cs="Times New Roman"/>
      <w:sz w:val="20"/>
      <w:szCs w:val="20"/>
      <w:lang w:eastAsia="es-ES"/>
    </w:rPr>
  </w:style>
  <w:style w:type="paragraph" w:customStyle="1" w:styleId="14">
    <w:name w:val="1"/>
    <w:rsid w:val="00972F30"/>
    <w:pPr>
      <w:suppressAutoHyphens/>
    </w:pPr>
    <w:rPr>
      <w:lang w:val="de-DE" w:eastAsia="de-DE"/>
    </w:rPr>
  </w:style>
  <w:style w:type="paragraph" w:customStyle="1" w:styleId="15">
    <w:name w:val="Перечень рисунков1"/>
    <w:basedOn w:val="a"/>
    <w:rsid w:val="00972F30"/>
    <w:pPr>
      <w:spacing w:line="240" w:lineRule="auto"/>
      <w:ind w:left="400" w:hanging="400"/>
    </w:pPr>
    <w:rPr>
      <w:rFonts w:eastAsia="Times New Roman" w:cs="Times New Roman"/>
      <w:caps/>
      <w:sz w:val="20"/>
      <w:szCs w:val="20"/>
      <w:lang w:eastAsia="es-ES"/>
    </w:rPr>
  </w:style>
  <w:style w:type="paragraph" w:customStyle="1" w:styleId="ListNumber1">
    <w:name w:val="List Number1"/>
    <w:basedOn w:val="af1"/>
    <w:rsid w:val="00972F30"/>
    <w:pPr>
      <w:spacing w:after="270" w:line="270" w:lineRule="atLeast"/>
    </w:pPr>
    <w:rPr>
      <w:rFonts w:ascii="Garamond" w:eastAsia="Times New Roman" w:hAnsi="Garamond" w:cs="Times New Roman"/>
      <w:sz w:val="23"/>
      <w:szCs w:val="20"/>
      <w:lang w:eastAsia="da-DK"/>
    </w:rPr>
  </w:style>
  <w:style w:type="paragraph" w:customStyle="1" w:styleId="ListNumber21">
    <w:name w:val="List Number 21"/>
    <w:basedOn w:val="ListNumber1"/>
    <w:rsid w:val="00972F30"/>
    <w:pPr>
      <w:tabs>
        <w:tab w:val="left" w:pos="705"/>
      </w:tabs>
      <w:ind w:left="850" w:hanging="425"/>
    </w:pPr>
  </w:style>
  <w:style w:type="paragraph" w:customStyle="1" w:styleId="ListNumber31">
    <w:name w:val="List Number 31"/>
    <w:basedOn w:val="ListNumber21"/>
    <w:rsid w:val="00972F30"/>
    <w:pPr>
      <w:tabs>
        <w:tab w:val="clear" w:pos="705"/>
        <w:tab w:val="left" w:pos="720"/>
        <w:tab w:val="left" w:pos="1276"/>
      </w:tabs>
      <w:ind w:left="1276"/>
    </w:pPr>
  </w:style>
  <w:style w:type="paragraph" w:customStyle="1" w:styleId="NoSpacing1">
    <w:name w:val="No Spacing1"/>
    <w:rsid w:val="00972F30"/>
    <w:pPr>
      <w:suppressAutoHyphens/>
    </w:pPr>
    <w:rPr>
      <w:rFonts w:ascii="Calibri" w:eastAsia="Calibri" w:hAnsi="Calibri"/>
      <w:sz w:val="22"/>
      <w:szCs w:val="22"/>
      <w:lang w:val="en-GB" w:eastAsia="en-US"/>
    </w:rPr>
  </w:style>
  <w:style w:type="paragraph" w:customStyle="1" w:styleId="CharCharCharChar">
    <w:name w:val="Char Char Char Char"/>
    <w:basedOn w:val="a"/>
    <w:rsid w:val="00972F30"/>
    <w:pPr>
      <w:spacing w:line="240" w:lineRule="exact"/>
    </w:pPr>
    <w:rPr>
      <w:rFonts w:ascii="Tahoma" w:eastAsia="Times New Roman" w:hAnsi="Tahoma" w:cs="Times New Roman"/>
      <w:sz w:val="20"/>
      <w:szCs w:val="20"/>
    </w:rPr>
  </w:style>
  <w:style w:type="paragraph" w:customStyle="1" w:styleId="NormalIndent10">
    <w:name w:val="Normal Indent 1.0"/>
    <w:basedOn w:val="a"/>
    <w:rsid w:val="00972F30"/>
    <w:pPr>
      <w:keepLines/>
      <w:spacing w:before="80" w:line="240" w:lineRule="auto"/>
      <w:ind w:left="1152"/>
    </w:pPr>
    <w:rPr>
      <w:rFonts w:ascii="Arial" w:eastAsia="Times New Roman" w:hAnsi="Arial" w:cs="Arial"/>
      <w:lang w:val="en-IE"/>
    </w:rPr>
  </w:style>
  <w:style w:type="paragraph" w:customStyle="1" w:styleId="Bullet2">
    <w:name w:val="Bullet 2"/>
    <w:basedOn w:val="a"/>
    <w:rsid w:val="00972F30"/>
    <w:pPr>
      <w:tabs>
        <w:tab w:val="left" w:pos="1985"/>
      </w:tabs>
      <w:spacing w:line="240" w:lineRule="auto"/>
      <w:ind w:left="1985" w:hanging="1985"/>
    </w:pPr>
    <w:rPr>
      <w:rFonts w:ascii="Arial" w:eastAsia="Times New Roman" w:hAnsi="Arial" w:cs="Arial"/>
      <w:lang w:val="en-IE"/>
    </w:rPr>
  </w:style>
  <w:style w:type="paragraph" w:customStyle="1" w:styleId="ListParagraph1">
    <w:name w:val="List Paragraph1"/>
    <w:basedOn w:val="a"/>
    <w:rsid w:val="00972F30"/>
    <w:pPr>
      <w:spacing w:before="60" w:after="120"/>
    </w:pPr>
    <w:rPr>
      <w:rFonts w:cs="Calibri"/>
    </w:rPr>
  </w:style>
  <w:style w:type="paragraph" w:customStyle="1" w:styleId="Text1">
    <w:name w:val="Text 1"/>
    <w:basedOn w:val="a"/>
    <w:rsid w:val="00972F30"/>
    <w:pPr>
      <w:spacing w:after="240" w:line="240" w:lineRule="auto"/>
      <w:ind w:left="482"/>
    </w:pPr>
    <w:rPr>
      <w:rFonts w:ascii="Arial" w:eastAsia="Times New Roman" w:hAnsi="Arial" w:cs="Angsana New"/>
      <w:sz w:val="20"/>
      <w:szCs w:val="20"/>
    </w:rPr>
  </w:style>
  <w:style w:type="paragraph" w:customStyle="1" w:styleId="Text3">
    <w:name w:val="Text 3"/>
    <w:basedOn w:val="a"/>
    <w:rsid w:val="00972F30"/>
    <w:pPr>
      <w:tabs>
        <w:tab w:val="left" w:pos="2302"/>
      </w:tabs>
      <w:spacing w:after="240" w:line="240" w:lineRule="auto"/>
      <w:ind w:left="1202"/>
    </w:pPr>
    <w:rPr>
      <w:rFonts w:ascii="Times New Roman" w:eastAsia="Times New Roman" w:hAnsi="Times New Roman" w:cs="Times New Roman"/>
      <w:sz w:val="24"/>
      <w:szCs w:val="20"/>
    </w:rPr>
  </w:style>
  <w:style w:type="paragraph" w:customStyle="1" w:styleId="ListBullet1">
    <w:name w:val="List Bullet1"/>
    <w:basedOn w:val="a"/>
    <w:autoRedefine/>
    <w:rsid w:val="00972F30"/>
    <w:pPr>
      <w:tabs>
        <w:tab w:val="left" w:pos="-202"/>
      </w:tabs>
      <w:spacing w:line="240" w:lineRule="exact"/>
      <w:ind w:left="288"/>
    </w:pPr>
    <w:rPr>
      <w:rFonts w:ascii="Arial" w:eastAsia="Times New Roman" w:hAnsi="Arial" w:cs="Times New Roman"/>
      <w:sz w:val="20"/>
      <w:szCs w:val="20"/>
    </w:rPr>
  </w:style>
  <w:style w:type="paragraph" w:customStyle="1" w:styleId="NormalIndent1">
    <w:name w:val="Normal Indent1"/>
    <w:basedOn w:val="a"/>
    <w:rsid w:val="00972F30"/>
    <w:pPr>
      <w:spacing w:after="300" w:line="300" w:lineRule="atLeast"/>
      <w:ind w:left="1985"/>
    </w:pPr>
    <w:rPr>
      <w:rFonts w:ascii="Arial" w:hAnsi="Arial"/>
    </w:rPr>
  </w:style>
  <w:style w:type="paragraph" w:customStyle="1" w:styleId="Mullingar1">
    <w:name w:val="Mullingar 1"/>
    <w:basedOn w:val="1"/>
    <w:rsid w:val="00972F30"/>
    <w:pPr>
      <w:keepLines w:val="0"/>
      <w:pageBreakBefore/>
      <w:widowControl w:val="0"/>
      <w:numPr>
        <w:numId w:val="0"/>
      </w:numPr>
      <w:pBdr>
        <w:top w:val="single" w:sz="18" w:space="10" w:color="99CCFF"/>
        <w:left w:val="none" w:sz="0" w:space="0" w:color="000000"/>
        <w:bottom w:val="single" w:sz="18" w:space="10" w:color="99CCFF"/>
        <w:right w:val="none" w:sz="0" w:space="0" w:color="000000"/>
      </w:pBdr>
      <w:tabs>
        <w:tab w:val="left" w:pos="284"/>
      </w:tabs>
      <w:spacing w:after="240" w:line="240" w:lineRule="auto"/>
    </w:pPr>
    <w:rPr>
      <w:rFonts w:ascii="Arial" w:eastAsia="Times New Roman" w:hAnsi="Arial" w:cs="Arial"/>
      <w:b w:val="0"/>
      <w:caps w:val="0"/>
      <w:sz w:val="28"/>
      <w:szCs w:val="20"/>
      <w:lang w:val="en-IE"/>
    </w:rPr>
  </w:style>
  <w:style w:type="paragraph" w:customStyle="1" w:styleId="Mullingar2">
    <w:name w:val="Mullingar 2"/>
    <w:basedOn w:val="2"/>
    <w:rsid w:val="00972F30"/>
    <w:pPr>
      <w:keepLines w:val="0"/>
      <w:numPr>
        <w:ilvl w:val="0"/>
        <w:numId w:val="0"/>
      </w:numPr>
      <w:tabs>
        <w:tab w:val="left" w:pos="1021"/>
      </w:tabs>
      <w:spacing w:after="240"/>
    </w:pPr>
    <w:rPr>
      <w:szCs w:val="20"/>
      <w:lang w:val="en-IE" w:eastAsia="en-US"/>
    </w:rPr>
  </w:style>
  <w:style w:type="paragraph" w:customStyle="1" w:styleId="Mullingar3">
    <w:name w:val="Mullingar 3"/>
    <w:basedOn w:val="3"/>
    <w:rsid w:val="00972F30"/>
    <w:pPr>
      <w:numPr>
        <w:ilvl w:val="0"/>
        <w:numId w:val="0"/>
      </w:numPr>
      <w:tabs>
        <w:tab w:val="left" w:pos="851"/>
        <w:tab w:val="left" w:pos="1021"/>
      </w:tabs>
      <w:spacing w:after="240" w:line="312" w:lineRule="auto"/>
      <w:ind w:left="851" w:hanging="851"/>
    </w:pPr>
    <w:rPr>
      <w:rFonts w:cs="Arial"/>
      <w:szCs w:val="20"/>
      <w:lang w:val="en-IE"/>
    </w:rPr>
  </w:style>
  <w:style w:type="paragraph" w:customStyle="1" w:styleId="Mullingartext">
    <w:name w:val="Mullingar text"/>
    <w:rsid w:val="00972F30"/>
    <w:pPr>
      <w:tabs>
        <w:tab w:val="left" w:pos="864"/>
        <w:tab w:val="left" w:pos="1021"/>
      </w:tabs>
      <w:suppressAutoHyphens/>
      <w:spacing w:after="240" w:line="312" w:lineRule="auto"/>
      <w:ind w:left="864" w:hanging="864"/>
    </w:pPr>
    <w:rPr>
      <w:sz w:val="22"/>
      <w:lang w:val="en-IE" w:eastAsia="en-US"/>
    </w:rPr>
  </w:style>
  <w:style w:type="paragraph" w:customStyle="1" w:styleId="BodyTextIndent31">
    <w:name w:val="Body Text Indent 31"/>
    <w:basedOn w:val="a"/>
    <w:rsid w:val="00972F30"/>
    <w:pPr>
      <w:spacing w:after="120" w:line="240" w:lineRule="auto"/>
      <w:ind w:left="283"/>
    </w:pPr>
    <w:rPr>
      <w:rFonts w:ascii="Arial" w:eastAsia="Times New Roman" w:hAnsi="Arial" w:cs="Times New Roman"/>
      <w:sz w:val="16"/>
      <w:szCs w:val="16"/>
      <w:lang w:eastAsia="es-ES"/>
    </w:rPr>
  </w:style>
  <w:style w:type="paragraph" w:customStyle="1" w:styleId="Mullingartableheader">
    <w:name w:val="Mullingar table header"/>
    <w:basedOn w:val="a"/>
    <w:rsid w:val="00972F30"/>
    <w:pPr>
      <w:keepNext/>
      <w:tabs>
        <w:tab w:val="left" w:pos="2127"/>
      </w:tabs>
      <w:spacing w:before="240" w:after="240" w:line="240" w:lineRule="auto"/>
      <w:jc w:val="center"/>
    </w:pPr>
    <w:rPr>
      <w:rFonts w:ascii="Arial" w:eastAsia="Times New Roman" w:hAnsi="Arial" w:cs="Arial"/>
      <w:b/>
      <w:szCs w:val="20"/>
      <w:lang w:val="en-IE"/>
    </w:rPr>
  </w:style>
  <w:style w:type="paragraph" w:customStyle="1" w:styleId="BlockText1">
    <w:name w:val="Block Text1"/>
    <w:basedOn w:val="a"/>
    <w:rsid w:val="00972F30"/>
    <w:pPr>
      <w:tabs>
        <w:tab w:val="left" w:pos="-720"/>
        <w:tab w:val="left" w:pos="0"/>
        <w:tab w:val="left" w:pos="720"/>
      </w:tabs>
      <w:spacing w:line="240" w:lineRule="auto"/>
      <w:ind w:left="720" w:right="-144" w:hanging="864"/>
    </w:pPr>
    <w:rPr>
      <w:rFonts w:ascii="Arial" w:eastAsia="Times New Roman" w:hAnsi="Arial" w:cs="Times New Roman"/>
      <w:spacing w:val="-1"/>
      <w:sz w:val="12"/>
      <w:szCs w:val="20"/>
    </w:rPr>
  </w:style>
  <w:style w:type="paragraph" w:customStyle="1" w:styleId="ListBullet10">
    <w:name w:val="List Bullet 1"/>
    <w:basedOn w:val="Text1"/>
    <w:rsid w:val="00972F30"/>
    <w:rPr>
      <w:rFonts w:ascii="Times New Roman" w:hAnsi="Times New Roman" w:cs="Times New Roman"/>
      <w:sz w:val="24"/>
    </w:rPr>
  </w:style>
  <w:style w:type="paragraph" w:customStyle="1" w:styleId="CarCarCarCarCarCarCarCarCar">
    <w:name w:val="Car Car Car Car Car Car Car Car Car"/>
    <w:basedOn w:val="a"/>
    <w:rsid w:val="00972F30"/>
    <w:pPr>
      <w:spacing w:after="240" w:line="240" w:lineRule="auto"/>
    </w:pPr>
    <w:rPr>
      <w:rFonts w:ascii="Times New Roman" w:eastAsia="Times New Roman" w:hAnsi="Times New Roman" w:cs="Times New Roman"/>
      <w:i/>
      <w:sz w:val="20"/>
      <w:szCs w:val="20"/>
      <w:lang w:val="pt-PT"/>
    </w:rPr>
  </w:style>
  <w:style w:type="paragraph" w:customStyle="1" w:styleId="Default">
    <w:name w:val="Default"/>
    <w:rsid w:val="00972F30"/>
    <w:pPr>
      <w:suppressAutoHyphens/>
    </w:pPr>
    <w:rPr>
      <w:rFonts w:ascii="Arial" w:hAnsi="Arial" w:cs="Arial"/>
      <w:color w:val="000000"/>
      <w:sz w:val="24"/>
      <w:szCs w:val="24"/>
      <w:lang w:val="en-US" w:eastAsia="en-US"/>
    </w:rPr>
  </w:style>
  <w:style w:type="paragraph" w:customStyle="1" w:styleId="33">
    <w:name w:val="Основной текст3"/>
    <w:basedOn w:val="a"/>
    <w:rsid w:val="00972F30"/>
    <w:pPr>
      <w:widowControl w:val="0"/>
      <w:shd w:val="clear" w:color="auto" w:fill="FFFFFF"/>
      <w:spacing w:before="1860" w:after="1860" w:line="0" w:lineRule="atLeast"/>
      <w:ind w:hanging="560"/>
    </w:pPr>
    <w:rPr>
      <w:rFonts w:ascii="Arial" w:eastAsia="Arial" w:hAnsi="Arial" w:cs="Arial"/>
      <w:spacing w:val="1"/>
      <w:sz w:val="20"/>
      <w:szCs w:val="20"/>
    </w:rPr>
  </w:style>
  <w:style w:type="paragraph" w:customStyle="1" w:styleId="af7">
    <w:name w:val="Таблица"/>
    <w:basedOn w:val="a"/>
    <w:rsid w:val="00972F30"/>
    <w:pPr>
      <w:ind w:left="527" w:right="-20"/>
      <w:jc w:val="center"/>
    </w:pPr>
    <w:rPr>
      <w:rFonts w:eastAsia="Arial" w:cs="Calibri"/>
      <w:szCs w:val="24"/>
    </w:rPr>
  </w:style>
  <w:style w:type="paragraph" w:customStyle="1" w:styleId="Liste-">
    <w:name w:val="Liste -"/>
    <w:basedOn w:val="NoSpacing1"/>
    <w:rsid w:val="00972F30"/>
    <w:pPr>
      <w:jc w:val="both"/>
    </w:pPr>
    <w:rPr>
      <w:lang w:val="en-US"/>
    </w:rPr>
  </w:style>
  <w:style w:type="paragraph" w:customStyle="1" w:styleId="TableW">
    <w:name w:val="Table W"/>
    <w:basedOn w:val="a"/>
    <w:rsid w:val="00972F30"/>
    <w:pPr>
      <w:jc w:val="center"/>
    </w:pPr>
    <w:rPr>
      <w:b/>
      <w:color w:val="FFFFFF"/>
    </w:rPr>
  </w:style>
  <w:style w:type="paragraph" w:customStyle="1" w:styleId="TableXXL">
    <w:name w:val="Table XXL"/>
    <w:basedOn w:val="a"/>
    <w:rsid w:val="00972F30"/>
    <w:pPr>
      <w:spacing w:line="240" w:lineRule="auto"/>
    </w:pPr>
    <w:rPr>
      <w:sz w:val="16"/>
      <w:szCs w:val="16"/>
    </w:rPr>
  </w:style>
  <w:style w:type="paragraph" w:customStyle="1" w:styleId="Table2">
    <w:name w:val="Table 2"/>
    <w:basedOn w:val="a"/>
    <w:rsid w:val="00972F30"/>
    <w:pPr>
      <w:spacing w:line="240" w:lineRule="auto"/>
    </w:pPr>
    <w:rPr>
      <w:sz w:val="20"/>
      <w:szCs w:val="20"/>
      <w:lang w:eastAsia="de-DE"/>
    </w:rPr>
  </w:style>
  <w:style w:type="paragraph" w:customStyle="1" w:styleId="Buchuntertitel1">
    <w:name w:val="Buchuntertitel 1"/>
    <w:basedOn w:val="af2"/>
    <w:rsid w:val="00972F30"/>
    <w:pPr>
      <w:spacing w:before="240" w:after="240" w:line="360" w:lineRule="auto"/>
      <w:jc w:val="center"/>
    </w:pPr>
    <w:rPr>
      <w:b/>
      <w:color w:val="002060"/>
      <w:sz w:val="32"/>
      <w:szCs w:val="32"/>
    </w:rPr>
  </w:style>
  <w:style w:type="paragraph" w:customStyle="1" w:styleId="Buchuntertitel2">
    <w:name w:val="Buchuntertitel 2"/>
    <w:basedOn w:val="a"/>
    <w:rsid w:val="00972F30"/>
    <w:pPr>
      <w:spacing w:before="240" w:after="240" w:line="360" w:lineRule="auto"/>
      <w:jc w:val="center"/>
    </w:pPr>
    <w:rPr>
      <w:b/>
      <w:color w:val="002060"/>
      <w:sz w:val="28"/>
    </w:rPr>
  </w:style>
  <w:style w:type="paragraph" w:customStyle="1" w:styleId="Report1">
    <w:name w:val="Report 1"/>
    <w:basedOn w:val="a"/>
    <w:rsid w:val="00972F30"/>
    <w:pPr>
      <w:jc w:val="center"/>
    </w:pPr>
    <w:rPr>
      <w:b/>
      <w:color w:val="FF0000"/>
      <w:sz w:val="48"/>
      <w:szCs w:val="48"/>
    </w:rPr>
  </w:style>
  <w:style w:type="paragraph" w:customStyle="1" w:styleId="Report2">
    <w:name w:val="Report 2"/>
    <w:basedOn w:val="a"/>
    <w:rsid w:val="00972F30"/>
    <w:pPr>
      <w:jc w:val="center"/>
    </w:pPr>
    <w:rPr>
      <w:b/>
      <w:color w:val="FF0000"/>
      <w:sz w:val="28"/>
      <w:szCs w:val="28"/>
    </w:rPr>
  </w:style>
  <w:style w:type="paragraph" w:customStyle="1" w:styleId="Report3">
    <w:name w:val="Report 3"/>
    <w:basedOn w:val="a"/>
    <w:rsid w:val="00972F30"/>
    <w:pPr>
      <w:spacing w:line="360" w:lineRule="auto"/>
      <w:jc w:val="center"/>
    </w:pPr>
    <w:rPr>
      <w:sz w:val="24"/>
      <w:u w:val="single"/>
    </w:rPr>
  </w:style>
  <w:style w:type="paragraph" w:customStyle="1" w:styleId="Report4">
    <w:name w:val="Report 4"/>
    <w:basedOn w:val="Report3"/>
    <w:rsid w:val="00972F30"/>
    <w:rPr>
      <w:u w:val="none"/>
    </w:rPr>
  </w:style>
  <w:style w:type="table" w:styleId="af8">
    <w:name w:val="Table Grid"/>
    <w:basedOn w:val="a1"/>
    <w:uiPriority w:val="59"/>
    <w:rsid w:val="008D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9131AA"/>
    <w:pPr>
      <w:ind w:left="708"/>
    </w:pPr>
  </w:style>
  <w:style w:type="character" w:styleId="afa">
    <w:name w:val="annotation reference"/>
    <w:uiPriority w:val="99"/>
    <w:semiHidden/>
    <w:unhideWhenUsed/>
    <w:rsid w:val="00A30358"/>
    <w:rPr>
      <w:sz w:val="16"/>
      <w:szCs w:val="16"/>
    </w:rPr>
  </w:style>
  <w:style w:type="paragraph" w:styleId="afb">
    <w:name w:val="annotation text"/>
    <w:basedOn w:val="a"/>
    <w:link w:val="afc"/>
    <w:uiPriority w:val="99"/>
    <w:semiHidden/>
    <w:unhideWhenUsed/>
    <w:rsid w:val="00A30358"/>
    <w:rPr>
      <w:sz w:val="20"/>
      <w:szCs w:val="20"/>
    </w:rPr>
  </w:style>
  <w:style w:type="character" w:customStyle="1" w:styleId="afc">
    <w:name w:val="Текст примечания Знак"/>
    <w:link w:val="afb"/>
    <w:uiPriority w:val="99"/>
    <w:semiHidden/>
    <w:rsid w:val="00A30358"/>
    <w:rPr>
      <w:rFonts w:ascii="Calibri" w:eastAsia="Calibri" w:hAnsi="Calibri" w:cs="font358"/>
    </w:rPr>
  </w:style>
  <w:style w:type="paragraph" w:styleId="afd">
    <w:name w:val="annotation subject"/>
    <w:basedOn w:val="afb"/>
    <w:next w:val="afb"/>
    <w:link w:val="afe"/>
    <w:uiPriority w:val="99"/>
    <w:semiHidden/>
    <w:unhideWhenUsed/>
    <w:rsid w:val="00A30358"/>
    <w:rPr>
      <w:b/>
      <w:bCs/>
    </w:rPr>
  </w:style>
  <w:style w:type="character" w:customStyle="1" w:styleId="afe">
    <w:name w:val="Тема примечания Знак"/>
    <w:link w:val="afd"/>
    <w:uiPriority w:val="99"/>
    <w:semiHidden/>
    <w:rsid w:val="00A30358"/>
    <w:rPr>
      <w:rFonts w:ascii="Calibri" w:eastAsia="Calibri" w:hAnsi="Calibri" w:cs="font358"/>
      <w:b/>
      <w:bCs/>
    </w:rPr>
  </w:style>
  <w:style w:type="paragraph" w:styleId="aff">
    <w:name w:val="Balloon Text"/>
    <w:basedOn w:val="a"/>
    <w:link w:val="16"/>
    <w:uiPriority w:val="99"/>
    <w:semiHidden/>
    <w:unhideWhenUsed/>
    <w:rsid w:val="00A30358"/>
    <w:pPr>
      <w:spacing w:line="240" w:lineRule="auto"/>
    </w:pPr>
    <w:rPr>
      <w:rFonts w:ascii="Segoe UI" w:hAnsi="Segoe UI" w:cs="Segoe UI"/>
      <w:sz w:val="18"/>
      <w:szCs w:val="18"/>
    </w:rPr>
  </w:style>
  <w:style w:type="character" w:customStyle="1" w:styleId="16">
    <w:name w:val="Текст выноски Знак1"/>
    <w:link w:val="aff"/>
    <w:uiPriority w:val="99"/>
    <w:semiHidden/>
    <w:rsid w:val="00A30358"/>
    <w:rPr>
      <w:rFonts w:ascii="Segoe UI" w:eastAsia="Calibri" w:hAnsi="Segoe UI" w:cs="Segoe UI"/>
      <w:sz w:val="18"/>
      <w:szCs w:val="18"/>
    </w:rPr>
  </w:style>
  <w:style w:type="paragraph" w:styleId="aff0">
    <w:name w:val="Normal (Web)"/>
    <w:basedOn w:val="a"/>
    <w:uiPriority w:val="99"/>
    <w:semiHidden/>
    <w:unhideWhenUsed/>
    <w:rsid w:val="00CF7509"/>
    <w:pPr>
      <w:suppressAutoHyphens w:val="0"/>
      <w:spacing w:before="100" w:beforeAutospacing="1" w:after="100" w:afterAutospacing="1" w:line="240" w:lineRule="auto"/>
      <w:jc w:val="left"/>
    </w:pPr>
    <w:rPr>
      <w:rFonts w:cs="Calibri"/>
    </w:rPr>
  </w:style>
  <w:style w:type="paragraph" w:customStyle="1" w:styleId="TableParagraph">
    <w:name w:val="Table Paragraph"/>
    <w:basedOn w:val="a"/>
    <w:uiPriority w:val="1"/>
    <w:qFormat/>
    <w:rsid w:val="001B2586"/>
    <w:pPr>
      <w:widowControl w:val="0"/>
      <w:suppressAutoHyphens w:val="0"/>
      <w:autoSpaceDE w:val="0"/>
      <w:autoSpaceDN w:val="0"/>
      <w:spacing w:line="240" w:lineRule="auto"/>
      <w:jc w:val="left"/>
    </w:pPr>
    <w:rPr>
      <w:rFonts w:ascii="Times New Roman" w:eastAsia="Times New Roman" w:hAnsi="Times New Roman" w:cs="Times New Roman"/>
    </w:rPr>
  </w:style>
  <w:style w:type="table" w:customStyle="1" w:styleId="TableNormal1">
    <w:name w:val="Table Normal1"/>
    <w:uiPriority w:val="2"/>
    <w:semiHidden/>
    <w:unhideWhenUsed/>
    <w:qFormat/>
    <w:rsid w:val="001B25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jc w:val="both"/>
    </w:pPr>
    <w:rPr>
      <w:rFonts w:ascii="Calibri" w:eastAsia="Calibri" w:hAnsi="Calibri" w:cs="font358"/>
      <w:sz w:val="22"/>
      <w:szCs w:val="22"/>
      <w:lang w:val="en-US" w:eastAsia="en-US"/>
    </w:rPr>
  </w:style>
  <w:style w:type="paragraph" w:styleId="1">
    <w:name w:val="heading 1"/>
    <w:basedOn w:val="a"/>
    <w:qFormat/>
    <w:pPr>
      <w:keepNext/>
      <w:keepLines/>
      <w:numPr>
        <w:numId w:val="1"/>
      </w:numPr>
      <w:outlineLvl w:val="0"/>
    </w:pPr>
    <w:rPr>
      <w:rFonts w:cs="Calibri"/>
      <w:b/>
      <w:caps/>
      <w:sz w:val="24"/>
      <w:szCs w:val="24"/>
      <w:u w:val="single"/>
    </w:rPr>
  </w:style>
  <w:style w:type="paragraph" w:styleId="2">
    <w:name w:val="heading 2"/>
    <w:basedOn w:val="a"/>
    <w:qFormat/>
    <w:pPr>
      <w:keepNext/>
      <w:keepLines/>
      <w:numPr>
        <w:ilvl w:val="1"/>
        <w:numId w:val="1"/>
      </w:numPr>
      <w:spacing w:before="240" w:line="240" w:lineRule="auto"/>
      <w:outlineLvl w:val="1"/>
    </w:pPr>
    <w:rPr>
      <w:rFonts w:eastAsia="Times New Roman" w:cs="Times New Roman"/>
      <w:b/>
      <w:caps/>
      <w:szCs w:val="24"/>
      <w:lang w:eastAsia="es-ES"/>
    </w:rPr>
  </w:style>
  <w:style w:type="paragraph" w:styleId="3">
    <w:name w:val="heading 3"/>
    <w:basedOn w:val="a"/>
    <w:autoRedefine/>
    <w:qFormat/>
    <w:rsid w:val="00660EA2"/>
    <w:pPr>
      <w:keepNext/>
      <w:numPr>
        <w:ilvl w:val="2"/>
        <w:numId w:val="5"/>
      </w:numPr>
      <w:spacing w:line="240" w:lineRule="auto"/>
      <w:ind w:left="0" w:firstLine="0"/>
      <w:jc w:val="left"/>
      <w:outlineLvl w:val="2"/>
    </w:pPr>
    <w:rPr>
      <w:rFonts w:eastAsia="Times New Roman" w:cs="Times New Roman"/>
      <w:b/>
      <w:bCs/>
      <w:szCs w:val="24"/>
    </w:rPr>
  </w:style>
  <w:style w:type="paragraph" w:styleId="4">
    <w:name w:val="heading 4"/>
    <w:basedOn w:val="a"/>
    <w:autoRedefine/>
    <w:qFormat/>
    <w:pPr>
      <w:keepNext/>
      <w:numPr>
        <w:ilvl w:val="3"/>
        <w:numId w:val="1"/>
      </w:numPr>
      <w:spacing w:before="240" w:line="240" w:lineRule="auto"/>
      <w:outlineLvl w:val="3"/>
    </w:pPr>
    <w:rPr>
      <w:rFonts w:ascii="Arial" w:eastAsia="Times New Roman" w:hAnsi="Arial" w:cs="Times New Roman"/>
      <w:b/>
      <w:iCs/>
      <w:szCs w:val="24"/>
      <w:lang w:eastAsia="es-ES"/>
    </w:rPr>
  </w:style>
  <w:style w:type="paragraph" w:styleId="5">
    <w:name w:val="heading 5"/>
    <w:basedOn w:val="a"/>
    <w:autoRedefine/>
    <w:qFormat/>
    <w:pPr>
      <w:keepNext/>
      <w:keepLines/>
      <w:numPr>
        <w:ilvl w:val="4"/>
        <w:numId w:val="1"/>
      </w:numPr>
      <w:spacing w:before="240" w:line="260" w:lineRule="exact"/>
      <w:outlineLvl w:val="4"/>
    </w:pPr>
    <w:rPr>
      <w:rFonts w:ascii="Arial" w:eastAsia="Times New Roman" w:hAnsi="Arial" w:cs="Times New Roman"/>
      <w:sz w:val="20"/>
      <w:szCs w:val="24"/>
      <w:lang w:eastAsia="es-ES"/>
    </w:rPr>
  </w:style>
  <w:style w:type="paragraph" w:styleId="6">
    <w:name w:val="heading 6"/>
    <w:basedOn w:val="a"/>
    <w:qFormat/>
    <w:pPr>
      <w:keepNext/>
      <w:keepLines/>
      <w:numPr>
        <w:ilvl w:val="5"/>
        <w:numId w:val="1"/>
      </w:numPr>
      <w:spacing w:before="200" w:line="240" w:lineRule="auto"/>
      <w:outlineLvl w:val="5"/>
    </w:pPr>
    <w:rPr>
      <w:rFonts w:ascii="Cambria" w:eastAsia="Times New Roman" w:hAnsi="Cambria" w:cs="Times New Roman"/>
      <w:i/>
      <w:iCs/>
      <w:color w:val="243F60"/>
      <w:sz w:val="20"/>
      <w:szCs w:val="24"/>
      <w:lang w:eastAsia="es-ES"/>
    </w:rPr>
  </w:style>
  <w:style w:type="paragraph" w:styleId="7">
    <w:name w:val="heading 7"/>
    <w:basedOn w:val="a"/>
    <w:qFormat/>
    <w:pPr>
      <w:keepNext/>
      <w:keepLines/>
      <w:numPr>
        <w:ilvl w:val="6"/>
        <w:numId w:val="1"/>
      </w:numPr>
      <w:spacing w:before="200" w:line="240" w:lineRule="auto"/>
      <w:outlineLvl w:val="6"/>
    </w:pPr>
    <w:rPr>
      <w:rFonts w:ascii="Cambria" w:eastAsia="Times New Roman" w:hAnsi="Cambria" w:cs="Times New Roman"/>
      <w:i/>
      <w:iCs/>
      <w:color w:val="404040"/>
      <w:sz w:val="20"/>
      <w:szCs w:val="24"/>
      <w:lang w:eastAsia="es-ES"/>
    </w:rPr>
  </w:style>
  <w:style w:type="paragraph" w:styleId="8">
    <w:name w:val="heading 8"/>
    <w:basedOn w:val="a"/>
    <w:qFormat/>
    <w:pPr>
      <w:keepNext/>
      <w:keepLines/>
      <w:numPr>
        <w:ilvl w:val="7"/>
        <w:numId w:val="1"/>
      </w:numPr>
      <w:spacing w:before="200" w:line="240" w:lineRule="auto"/>
      <w:outlineLvl w:val="7"/>
    </w:pPr>
    <w:rPr>
      <w:rFonts w:ascii="Cambria" w:eastAsia="Times New Roman" w:hAnsi="Cambria" w:cs="Times New Roman"/>
      <w:color w:val="404040"/>
      <w:sz w:val="20"/>
      <w:szCs w:val="20"/>
      <w:lang w:eastAsia="es-ES"/>
    </w:rPr>
  </w:style>
  <w:style w:type="paragraph" w:styleId="9">
    <w:name w:val="heading 9"/>
    <w:basedOn w:val="a"/>
    <w:qFormat/>
    <w:pPr>
      <w:keepNext/>
      <w:keepLines/>
      <w:numPr>
        <w:ilvl w:val="8"/>
        <w:numId w:val="1"/>
      </w:numPr>
      <w:spacing w:before="200" w:line="240" w:lineRule="auto"/>
      <w:outlineLvl w:val="8"/>
    </w:pPr>
    <w:rPr>
      <w:rFonts w:ascii="Cambria" w:eastAsia="Times New Roman" w:hAnsi="Cambria" w:cs="Times New Roman"/>
      <w:i/>
      <w:iCs/>
      <w:color w:val="404040"/>
      <w:sz w:val="20"/>
      <w:szCs w:val="20"/>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10">
    <w:name w:val="Заголовок 1 Знак"/>
    <w:rPr>
      <w:rFonts w:eastAsia="Calibri" w:cs="Calibri"/>
      <w:b/>
      <w:caps/>
      <w:sz w:val="24"/>
      <w:szCs w:val="24"/>
      <w:u w:val="single"/>
      <w:lang w:val="en-US"/>
    </w:rPr>
  </w:style>
  <w:style w:type="character" w:customStyle="1" w:styleId="20">
    <w:name w:val="Заголовок 2 Знак"/>
    <w:rPr>
      <w:rFonts w:eastAsia="Times New Roman" w:cs="Times New Roman"/>
      <w:b/>
      <w:caps/>
      <w:szCs w:val="24"/>
      <w:lang w:val="en-US" w:eastAsia="es-ES"/>
    </w:rPr>
  </w:style>
  <w:style w:type="character" w:customStyle="1" w:styleId="a3">
    <w:name w:val="Основной текст Знак"/>
    <w:basedOn w:val="DefaultParagraphFont1"/>
  </w:style>
  <w:style w:type="character" w:customStyle="1" w:styleId="30">
    <w:name w:val="Заголовок 3 Знак"/>
    <w:rPr>
      <w:rFonts w:eastAsia="Times New Roman" w:cs="Times New Roman"/>
      <w:b/>
      <w:bCs/>
      <w:sz w:val="20"/>
      <w:szCs w:val="24"/>
      <w:lang w:val="en-US"/>
    </w:rPr>
  </w:style>
  <w:style w:type="character" w:customStyle="1" w:styleId="40">
    <w:name w:val="Заголовок 4 Знак"/>
    <w:rPr>
      <w:rFonts w:ascii="Arial" w:eastAsia="Times New Roman" w:hAnsi="Arial" w:cs="Times New Roman"/>
      <w:b/>
      <w:iCs/>
      <w:szCs w:val="24"/>
      <w:lang w:val="en-US" w:eastAsia="es-ES"/>
    </w:rPr>
  </w:style>
  <w:style w:type="character" w:customStyle="1" w:styleId="50">
    <w:name w:val="Заголовок 5 Знак"/>
    <w:rPr>
      <w:rFonts w:ascii="Arial" w:eastAsia="Times New Roman" w:hAnsi="Arial" w:cs="Times New Roman"/>
      <w:sz w:val="20"/>
      <w:szCs w:val="24"/>
      <w:lang w:val="en-US" w:eastAsia="es-ES"/>
    </w:rPr>
  </w:style>
  <w:style w:type="character" w:customStyle="1" w:styleId="60">
    <w:name w:val="Заголовок 6 Знак"/>
    <w:rPr>
      <w:rFonts w:ascii="Cambria" w:eastAsia="Times New Roman" w:hAnsi="Cambria" w:cs="Times New Roman"/>
      <w:i/>
      <w:iCs/>
      <w:color w:val="243F60"/>
      <w:sz w:val="20"/>
      <w:szCs w:val="24"/>
      <w:lang w:val="en-US" w:eastAsia="es-ES"/>
    </w:rPr>
  </w:style>
  <w:style w:type="character" w:customStyle="1" w:styleId="70">
    <w:name w:val="Заголовок 7 Знак"/>
    <w:rPr>
      <w:rFonts w:ascii="Cambria" w:eastAsia="Times New Roman" w:hAnsi="Cambria" w:cs="Times New Roman"/>
      <w:i/>
      <w:iCs/>
      <w:color w:val="404040"/>
      <w:sz w:val="20"/>
      <w:szCs w:val="24"/>
      <w:lang w:val="en-US" w:eastAsia="es-ES"/>
    </w:rPr>
  </w:style>
  <w:style w:type="character" w:customStyle="1" w:styleId="80">
    <w:name w:val="Заголовок 8 Знак"/>
    <w:rPr>
      <w:rFonts w:ascii="Cambria" w:eastAsia="Times New Roman" w:hAnsi="Cambria" w:cs="Times New Roman"/>
      <w:color w:val="404040"/>
      <w:sz w:val="20"/>
      <w:szCs w:val="20"/>
      <w:lang w:val="en-US" w:eastAsia="es-ES"/>
    </w:rPr>
  </w:style>
  <w:style w:type="character" w:customStyle="1" w:styleId="90">
    <w:name w:val="Заголовок 9 Знак"/>
    <w:rPr>
      <w:rFonts w:ascii="Cambria" w:eastAsia="Times New Roman" w:hAnsi="Cambria" w:cs="Times New Roman"/>
      <w:i/>
      <w:iCs/>
      <w:color w:val="404040"/>
      <w:sz w:val="20"/>
      <w:szCs w:val="20"/>
      <w:lang w:val="en-US" w:eastAsia="es-ES"/>
    </w:rPr>
  </w:style>
  <w:style w:type="character" w:customStyle="1" w:styleId="a4">
    <w:name w:val="Нижний колонтитул Знак"/>
    <w:rPr>
      <w:sz w:val="18"/>
      <w:lang w:val="en-US"/>
    </w:rPr>
  </w:style>
  <w:style w:type="character" w:customStyle="1" w:styleId="a5">
    <w:name w:val="Верхний колонтитул Знак"/>
    <w:aliases w:val="h Знак,Header ESE Знак,Header 1 Знак,h4 Знак,Header Title Знак"/>
    <w:rPr>
      <w:sz w:val="16"/>
      <w:lang w:val="en-US"/>
    </w:rPr>
  </w:style>
  <w:style w:type="character" w:customStyle="1" w:styleId="a6">
    <w:name w:val="Название Знак"/>
    <w:rPr>
      <w:rFonts w:eastAsia="Times New Roman" w:cs="Times New Roman"/>
      <w:b/>
      <w:bCs/>
      <w:sz w:val="32"/>
      <w:szCs w:val="24"/>
      <w:u w:val="single"/>
      <w:lang w:val="es-ES" w:eastAsia="es-ES"/>
    </w:rPr>
  </w:style>
  <w:style w:type="character" w:customStyle="1" w:styleId="a7">
    <w:name w:val="Текст выноски Знак"/>
    <w:rPr>
      <w:rFonts w:ascii="Tahoma" w:eastAsia="Times New Roman" w:hAnsi="Tahoma" w:cs="Tahoma"/>
      <w:sz w:val="16"/>
      <w:szCs w:val="16"/>
      <w:lang w:val="en-GB" w:eastAsia="es-ES"/>
    </w:rPr>
  </w:style>
  <w:style w:type="character" w:styleId="a8">
    <w:name w:val="Hyperlink"/>
    <w:uiPriority w:val="99"/>
    <w:rPr>
      <w:color w:val="0000FF"/>
      <w:u w:val="single"/>
    </w:rPr>
  </w:style>
  <w:style w:type="character" w:customStyle="1" w:styleId="a9">
    <w:name w:val="Без интервала Знак"/>
    <w:rPr>
      <w:rFonts w:ascii="Calibri" w:eastAsia="Calibri" w:hAnsi="Calibri" w:cs="Times New Roman"/>
      <w:lang w:val="en-GB"/>
    </w:rPr>
  </w:style>
  <w:style w:type="character" w:customStyle="1" w:styleId="aa">
    <w:name w:val="Абзац списка Знак"/>
    <w:rPr>
      <w:rFonts w:eastAsia="Calibri" w:cs="Calibri"/>
      <w:lang w:val="en-US"/>
    </w:rPr>
  </w:style>
  <w:style w:type="character" w:customStyle="1" w:styleId="Strong1">
    <w:name w:val="Strong1"/>
    <w:rPr>
      <w:b/>
      <w:bCs/>
    </w:rPr>
  </w:style>
  <w:style w:type="character" w:customStyle="1" w:styleId="ab">
    <w:name w:val="Маркированный список Знак"/>
    <w:rPr>
      <w:rFonts w:ascii="Arial" w:eastAsia="Times New Roman" w:hAnsi="Arial" w:cs="Times New Roman"/>
      <w:sz w:val="20"/>
      <w:szCs w:val="20"/>
      <w:lang w:val="en-US"/>
    </w:rPr>
  </w:style>
  <w:style w:type="character" w:customStyle="1" w:styleId="ac">
    <w:name w:val="Обычный отступ Знак"/>
    <w:rPr>
      <w:rFonts w:ascii="Arial" w:hAnsi="Arial"/>
      <w:lang w:val="en-GB"/>
    </w:rPr>
  </w:style>
  <w:style w:type="character" w:customStyle="1" w:styleId="31">
    <w:name w:val="Основной текст с отступом 3 Знак"/>
    <w:rPr>
      <w:rFonts w:ascii="Arial" w:eastAsia="Times New Roman" w:hAnsi="Arial" w:cs="Times New Roman"/>
      <w:sz w:val="16"/>
      <w:szCs w:val="16"/>
      <w:lang w:val="en-GB" w:eastAsia="es-ES"/>
    </w:rPr>
  </w:style>
  <w:style w:type="character" w:customStyle="1" w:styleId="FollowedHyperlink1">
    <w:name w:val="FollowedHyperlink1"/>
    <w:rPr>
      <w:color w:val="954F72"/>
      <w:u w:val="single"/>
    </w:rPr>
  </w:style>
  <w:style w:type="character" w:customStyle="1" w:styleId="SubtleEmphasis1">
    <w:name w:val="Subtle Emphasis1"/>
    <w:rPr>
      <w:i/>
      <w:iCs/>
      <w:color w:val="808080"/>
    </w:rPr>
  </w:style>
  <w:style w:type="character" w:customStyle="1" w:styleId="UnresolvedMention1">
    <w:name w:val="Unresolved Mention1"/>
    <w:rPr>
      <w:color w:val="808080"/>
      <w:shd w:val="clear" w:color="auto" w:fill="E6E6E6"/>
    </w:rPr>
  </w:style>
  <w:style w:type="character" w:customStyle="1" w:styleId="ad">
    <w:name w:val="Основной текст_"/>
    <w:rPr>
      <w:rFonts w:ascii="Arial" w:eastAsia="Arial" w:hAnsi="Arial" w:cs="Arial"/>
      <w:spacing w:val="1"/>
      <w:sz w:val="20"/>
      <w:szCs w:val="20"/>
      <w:shd w:val="clear" w:color="auto" w:fill="FFFFFF"/>
    </w:rPr>
  </w:style>
  <w:style w:type="character" w:customStyle="1" w:styleId="SubtleEmphasis2">
    <w:name w:val="Subtle Emphasis2"/>
    <w:rPr>
      <w:i/>
      <w:iCs/>
      <w:color w:val="404040"/>
    </w:rPr>
  </w:style>
  <w:style w:type="character" w:customStyle="1" w:styleId="shorttext">
    <w:name w:val="short_text"/>
    <w:basedOn w:val="DefaultParagraphFont1"/>
  </w:style>
  <w:style w:type="character" w:customStyle="1" w:styleId="alt-edited">
    <w:name w:val="alt-edited"/>
    <w:basedOn w:val="DefaultParagraphFont1"/>
  </w:style>
  <w:style w:type="character" w:styleId="ae">
    <w:name w:val="footnote reference"/>
    <w:rPr>
      <w:vertAlign w:val="superscript"/>
    </w:rPr>
  </w:style>
  <w:style w:type="character" w:customStyle="1" w:styleId="FootnoteCharacters">
    <w:name w:val="Footnote Characters"/>
    <w:rPr>
      <w:vertAlign w:val="superscript"/>
    </w:rPr>
  </w:style>
  <w:style w:type="character" w:customStyle="1" w:styleId="BookTitle1">
    <w:name w:val="Book Title1"/>
    <w:rPr>
      <w:b/>
      <w:bCs/>
      <w:color w:val="002060"/>
      <w:spacing w:val="5"/>
      <w:sz w:val="36"/>
      <w:szCs w:val="36"/>
    </w:rPr>
  </w:style>
  <w:style w:type="character" w:customStyle="1" w:styleId="Report3Zchn">
    <w:name w:val="Report 3 Zchn"/>
    <w:rPr>
      <w:sz w:val="24"/>
      <w:u w:val="single"/>
      <w:lang w:val="en-US"/>
    </w:rPr>
  </w:style>
  <w:style w:type="character" w:customStyle="1" w:styleId="Report4Zchn">
    <w:name w:val="Report 4 Zchn"/>
    <w:rPr>
      <w:sz w:val="24"/>
      <w:u w:val="single"/>
      <w:lang w:val="en-US"/>
    </w:rPr>
  </w:style>
  <w:style w:type="character" w:customStyle="1" w:styleId="PlaceholderText1">
    <w:name w:val="Placeholder Text1"/>
    <w:rPr>
      <w:color w:val="808080"/>
    </w:rPr>
  </w:style>
  <w:style w:type="character" w:customStyle="1" w:styleId="ListLabel1">
    <w:name w:val="ListLabel 1"/>
    <w:rPr>
      <w:rFonts w:eastAsia="Times New Roman" w:cs="Times New Roman"/>
    </w:rPr>
  </w:style>
  <w:style w:type="character" w:customStyle="1" w:styleId="ListLabel2">
    <w:name w:val="ListLabel 2"/>
    <w:rPr>
      <w:rFonts w:eastAsia="Calibri" w:cs="Calibri"/>
      <w:sz w:val="24"/>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color w:val="auto"/>
    </w:rPr>
  </w:style>
  <w:style w:type="character" w:customStyle="1" w:styleId="ListLabel7">
    <w:name w:val="ListLabel 7"/>
    <w:rPr>
      <w:rFonts w:eastAsia="Calibri" w:cs="Calibri"/>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color w:val="auto"/>
    </w:rPr>
  </w:style>
  <w:style w:type="character" w:customStyle="1" w:styleId="ListLabel11">
    <w:name w:val="ListLabel 11"/>
    <w:rPr>
      <w:rFonts w:eastAsia="Calibri" w:cs="Calibri"/>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rPr>
  </w:style>
  <w:style w:type="character" w:customStyle="1" w:styleId="ListLabel18">
    <w:name w:val="ListLabel 18"/>
    <w:rPr>
      <w:rFonts w:eastAsia="Times New Roman" w:cs="Times New Roman"/>
      <w:sz w:val="22"/>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sz w:val="22"/>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Calibri"/>
      <w:sz w:val="20"/>
      <w:szCs w:val="20"/>
    </w:rPr>
  </w:style>
  <w:style w:type="character" w:customStyle="1" w:styleId="ListLabel30">
    <w:name w:val="ListLabel 30"/>
  </w:style>
  <w:style w:type="character" w:customStyle="1" w:styleId="ListLabel31">
    <w:name w:val="ListLabel 31"/>
    <w:rPr>
      <w:lang w:val="de-DE"/>
    </w:rPr>
  </w:style>
  <w:style w:type="character" w:customStyle="1" w:styleId="ListLabel32">
    <w:name w:val="ListLabel 32"/>
    <w:rPr>
      <w:rFonts w:eastAsia="Times New Roman" w:cs="Calibri"/>
    </w:rPr>
  </w:style>
  <w:style w:type="character" w:customStyle="1" w:styleId="ListLabel33">
    <w:name w:val="ListLabel 33"/>
    <w:rPr>
      <w:rFonts w:ascii="Cambria" w:eastAsia="Times New Roman" w:hAnsi="Cambria" w:cs="Times New Roman"/>
      <w:b/>
      <w:bCs/>
      <w:caps/>
      <w:sz w:val="24"/>
      <w:szCs w:val="24"/>
      <w:lang w:eastAsia="es-ES"/>
    </w:rPr>
  </w:style>
  <w:style w:type="character" w:customStyle="1" w:styleId="af">
    <w:name w:val="Ссылка указателя"/>
  </w:style>
  <w:style w:type="paragraph" w:customStyle="1" w:styleId="af0">
    <w:name w:val="Заголовок"/>
    <w:basedOn w:val="a"/>
    <w:next w:val="af1"/>
    <w:pPr>
      <w:keepNext/>
      <w:spacing w:before="240" w:after="120"/>
    </w:pPr>
    <w:rPr>
      <w:rFonts w:ascii="Liberation Sans" w:eastAsia="Microsoft YaHei" w:hAnsi="Liberation Sans" w:cs="Mangal"/>
      <w:sz w:val="28"/>
      <w:szCs w:val="28"/>
    </w:rPr>
  </w:style>
  <w:style w:type="paragraph" w:styleId="af1">
    <w:name w:val="Body Text"/>
    <w:basedOn w:val="a"/>
    <w:pPr>
      <w:spacing w:after="120"/>
    </w:pPr>
  </w:style>
  <w:style w:type="paragraph" w:styleId="af2">
    <w:name w:val="List"/>
    <w:basedOn w:val="a"/>
    <w:pPr>
      <w:ind w:left="283" w:hanging="283"/>
      <w:contextualSpacing/>
    </w:pPr>
  </w:style>
  <w:style w:type="paragraph" w:styleId="af3">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HeadingNoNumber">
    <w:name w:val="Heading No Number"/>
    <w:basedOn w:val="1"/>
    <w:pPr>
      <w:keepLines w:val="0"/>
      <w:pageBreakBefore/>
      <w:widowControl w:val="0"/>
      <w:numPr>
        <w:numId w:val="0"/>
      </w:numPr>
      <w:pBdr>
        <w:top w:val="single" w:sz="18" w:space="10" w:color="99CCFF"/>
        <w:left w:val="none" w:sz="0" w:space="0" w:color="000000"/>
        <w:bottom w:val="single" w:sz="18" w:space="10" w:color="99CCFF"/>
        <w:right w:val="none" w:sz="0" w:space="0" w:color="000000"/>
      </w:pBdr>
      <w:tabs>
        <w:tab w:val="left" w:pos="284"/>
        <w:tab w:val="left" w:pos="1418"/>
      </w:tabs>
      <w:spacing w:after="240" w:line="240" w:lineRule="auto"/>
      <w:ind w:left="284"/>
    </w:pPr>
    <w:rPr>
      <w:rFonts w:ascii="Arial" w:eastAsia="Times New Roman" w:hAnsi="Arial" w:cs="Arial"/>
      <w:b w:val="0"/>
      <w:bCs/>
      <w:smallCaps/>
      <w:color w:val="000080"/>
      <w:kern w:val="2"/>
      <w:sz w:val="28"/>
      <w:szCs w:val="28"/>
    </w:rPr>
  </w:style>
  <w:style w:type="paragraph" w:styleId="af4">
    <w:name w:val="header"/>
    <w:aliases w:val="h,Header ESE,Header 1,h4,Header Title"/>
    <w:basedOn w:val="af5"/>
    <w:pPr>
      <w:jc w:val="center"/>
    </w:pPr>
    <w:rPr>
      <w:sz w:val="16"/>
    </w:rPr>
  </w:style>
  <w:style w:type="paragraph" w:styleId="af5">
    <w:name w:val="footer"/>
    <w:basedOn w:val="a"/>
    <w:autoRedefine/>
    <w:rsid w:val="00755668"/>
    <w:pPr>
      <w:tabs>
        <w:tab w:val="center" w:pos="4536"/>
        <w:tab w:val="right" w:pos="9498"/>
      </w:tabs>
      <w:spacing w:line="240" w:lineRule="auto"/>
    </w:pPr>
    <w:rPr>
      <w:sz w:val="18"/>
    </w:rPr>
  </w:style>
  <w:style w:type="paragraph" w:styleId="af6">
    <w:name w:val="Title"/>
    <w:basedOn w:val="a"/>
    <w:qFormat/>
    <w:pPr>
      <w:tabs>
        <w:tab w:val="left" w:pos="851"/>
        <w:tab w:val="left" w:pos="1134"/>
        <w:tab w:val="left" w:leader="dot" w:pos="7938"/>
        <w:tab w:val="left" w:pos="8051"/>
      </w:tabs>
      <w:spacing w:line="240" w:lineRule="auto"/>
    </w:pPr>
    <w:rPr>
      <w:rFonts w:eastAsia="Times New Roman" w:cs="Times New Roman"/>
      <w:b/>
      <w:bCs/>
      <w:sz w:val="32"/>
      <w:szCs w:val="24"/>
      <w:u w:val="single"/>
      <w:lang w:val="es-ES" w:eastAsia="es-ES"/>
    </w:rPr>
  </w:style>
  <w:style w:type="paragraph" w:styleId="32">
    <w:name w:val="toc 3"/>
    <w:basedOn w:val="a"/>
    <w:autoRedefine/>
    <w:pPr>
      <w:tabs>
        <w:tab w:val="right" w:pos="9356"/>
      </w:tabs>
      <w:spacing w:line="240" w:lineRule="auto"/>
    </w:pPr>
    <w:rPr>
      <w:rFonts w:eastAsia="Times New Roman" w:cs="Times New Roman"/>
      <w:sz w:val="20"/>
      <w:szCs w:val="20"/>
      <w:lang w:eastAsia="es-ES"/>
    </w:rPr>
  </w:style>
  <w:style w:type="paragraph" w:customStyle="1" w:styleId="NormalWeb1">
    <w:name w:val="Normal (Web)1"/>
    <w:basedOn w:val="a"/>
    <w:pPr>
      <w:spacing w:before="280" w:after="280" w:line="240" w:lineRule="auto"/>
    </w:pPr>
    <w:rPr>
      <w:rFonts w:ascii="Arial" w:eastAsia="Times New Roman" w:hAnsi="Arial" w:cs="Times New Roman"/>
      <w:sz w:val="20"/>
      <w:szCs w:val="24"/>
      <w:lang w:eastAsia="es-ES"/>
    </w:rPr>
  </w:style>
  <w:style w:type="paragraph" w:customStyle="1" w:styleId="BalloonText1">
    <w:name w:val="Balloon Text1"/>
    <w:basedOn w:val="a"/>
    <w:pPr>
      <w:spacing w:line="240" w:lineRule="auto"/>
    </w:pPr>
    <w:rPr>
      <w:rFonts w:ascii="Tahoma" w:eastAsia="Times New Roman" w:hAnsi="Tahoma" w:cs="Tahoma"/>
      <w:sz w:val="16"/>
      <w:szCs w:val="16"/>
      <w:lang w:eastAsia="es-ES"/>
    </w:rPr>
  </w:style>
  <w:style w:type="paragraph" w:customStyle="1" w:styleId="12">
    <w:name w:val="Название объекта1"/>
    <w:basedOn w:val="a"/>
    <w:pPr>
      <w:keepNext/>
      <w:spacing w:line="240" w:lineRule="auto"/>
    </w:pPr>
    <w:rPr>
      <w:rFonts w:eastAsia="Times New Roman" w:cs="Times New Roman"/>
      <w:b/>
      <w:bCs/>
      <w:szCs w:val="18"/>
      <w:lang w:eastAsia="es-ES"/>
    </w:rPr>
  </w:style>
  <w:style w:type="paragraph" w:styleId="13">
    <w:name w:val="toc 1"/>
    <w:basedOn w:val="a"/>
    <w:autoRedefine/>
    <w:uiPriority w:val="39"/>
    <w:pPr>
      <w:tabs>
        <w:tab w:val="left" w:pos="900"/>
        <w:tab w:val="right" w:leader="dot" w:pos="9090"/>
      </w:tabs>
      <w:spacing w:before="120" w:line="240" w:lineRule="auto"/>
    </w:pPr>
    <w:rPr>
      <w:rFonts w:ascii="Cambria" w:eastAsia="Times New Roman" w:hAnsi="Cambria" w:cs="Times New Roman"/>
      <w:b/>
      <w:bCs/>
      <w:caps/>
      <w:sz w:val="24"/>
      <w:szCs w:val="24"/>
      <w:lang w:eastAsia="es-ES"/>
    </w:rPr>
  </w:style>
  <w:style w:type="paragraph" w:styleId="21">
    <w:name w:val="toc 2"/>
    <w:basedOn w:val="a"/>
    <w:autoRedefine/>
    <w:uiPriority w:val="39"/>
    <w:pPr>
      <w:spacing w:before="240" w:line="240" w:lineRule="auto"/>
    </w:pPr>
    <w:rPr>
      <w:rFonts w:eastAsia="Times New Roman" w:cs="Times New Roman"/>
      <w:b/>
      <w:bCs/>
      <w:sz w:val="20"/>
      <w:szCs w:val="20"/>
      <w:lang w:eastAsia="es-ES"/>
    </w:rPr>
  </w:style>
  <w:style w:type="paragraph" w:styleId="41">
    <w:name w:val="toc 4"/>
    <w:basedOn w:val="a"/>
    <w:autoRedefine/>
    <w:pPr>
      <w:spacing w:line="240" w:lineRule="auto"/>
      <w:ind w:left="400"/>
    </w:pPr>
    <w:rPr>
      <w:rFonts w:eastAsia="Times New Roman" w:cs="Times New Roman"/>
      <w:sz w:val="20"/>
      <w:szCs w:val="20"/>
      <w:lang w:eastAsia="es-ES"/>
    </w:rPr>
  </w:style>
  <w:style w:type="paragraph" w:styleId="51">
    <w:name w:val="toc 5"/>
    <w:basedOn w:val="a"/>
    <w:autoRedefine/>
    <w:pPr>
      <w:spacing w:line="240" w:lineRule="auto"/>
      <w:ind w:left="600"/>
    </w:pPr>
    <w:rPr>
      <w:rFonts w:eastAsia="Times New Roman" w:cs="Times New Roman"/>
      <w:sz w:val="20"/>
      <w:szCs w:val="20"/>
      <w:lang w:eastAsia="es-ES"/>
    </w:rPr>
  </w:style>
  <w:style w:type="paragraph" w:styleId="61">
    <w:name w:val="toc 6"/>
    <w:basedOn w:val="a"/>
    <w:autoRedefine/>
    <w:pPr>
      <w:spacing w:line="240" w:lineRule="auto"/>
      <w:ind w:left="800"/>
    </w:pPr>
    <w:rPr>
      <w:rFonts w:eastAsia="Times New Roman" w:cs="Times New Roman"/>
      <w:sz w:val="20"/>
      <w:szCs w:val="20"/>
      <w:lang w:eastAsia="es-ES"/>
    </w:rPr>
  </w:style>
  <w:style w:type="paragraph" w:styleId="71">
    <w:name w:val="toc 7"/>
    <w:basedOn w:val="a"/>
    <w:autoRedefine/>
    <w:pPr>
      <w:spacing w:line="240" w:lineRule="auto"/>
      <w:ind w:left="1000"/>
    </w:pPr>
    <w:rPr>
      <w:rFonts w:eastAsia="Times New Roman" w:cs="Times New Roman"/>
      <w:sz w:val="20"/>
      <w:szCs w:val="20"/>
      <w:lang w:eastAsia="es-ES"/>
    </w:rPr>
  </w:style>
  <w:style w:type="paragraph" w:styleId="81">
    <w:name w:val="toc 8"/>
    <w:basedOn w:val="a"/>
    <w:autoRedefine/>
    <w:pPr>
      <w:spacing w:line="240" w:lineRule="auto"/>
      <w:ind w:left="1200"/>
    </w:pPr>
    <w:rPr>
      <w:rFonts w:eastAsia="Times New Roman" w:cs="Times New Roman"/>
      <w:sz w:val="20"/>
      <w:szCs w:val="20"/>
      <w:lang w:eastAsia="es-ES"/>
    </w:rPr>
  </w:style>
  <w:style w:type="paragraph" w:styleId="91">
    <w:name w:val="toc 9"/>
    <w:basedOn w:val="a"/>
    <w:autoRedefine/>
    <w:pPr>
      <w:spacing w:line="240" w:lineRule="auto"/>
      <w:ind w:left="1400"/>
    </w:pPr>
    <w:rPr>
      <w:rFonts w:eastAsia="Times New Roman" w:cs="Times New Roman"/>
      <w:sz w:val="20"/>
      <w:szCs w:val="20"/>
      <w:lang w:eastAsia="es-ES"/>
    </w:rPr>
  </w:style>
  <w:style w:type="paragraph" w:customStyle="1" w:styleId="14">
    <w:name w:val="1"/>
    <w:pPr>
      <w:suppressAutoHyphens/>
    </w:pPr>
    <w:rPr>
      <w:lang w:val="de-DE" w:eastAsia="de-DE"/>
    </w:rPr>
  </w:style>
  <w:style w:type="paragraph" w:customStyle="1" w:styleId="15">
    <w:name w:val="Перечень рисунков1"/>
    <w:basedOn w:val="a"/>
    <w:pPr>
      <w:spacing w:line="240" w:lineRule="auto"/>
      <w:ind w:left="400" w:hanging="400"/>
    </w:pPr>
    <w:rPr>
      <w:rFonts w:eastAsia="Times New Roman" w:cs="Times New Roman"/>
      <w:caps/>
      <w:sz w:val="20"/>
      <w:szCs w:val="20"/>
      <w:lang w:eastAsia="es-ES"/>
    </w:rPr>
  </w:style>
  <w:style w:type="paragraph" w:customStyle="1" w:styleId="ListNumber1">
    <w:name w:val="List Number1"/>
    <w:basedOn w:val="af1"/>
    <w:pPr>
      <w:spacing w:after="270" w:line="270" w:lineRule="atLeast"/>
    </w:pPr>
    <w:rPr>
      <w:rFonts w:ascii="Garamond" w:eastAsia="Times New Roman" w:hAnsi="Garamond" w:cs="Times New Roman"/>
      <w:sz w:val="23"/>
      <w:szCs w:val="20"/>
      <w:lang w:eastAsia="da-DK"/>
    </w:rPr>
  </w:style>
  <w:style w:type="paragraph" w:customStyle="1" w:styleId="ListNumber21">
    <w:name w:val="List Number 21"/>
    <w:basedOn w:val="ListNumber1"/>
    <w:pPr>
      <w:tabs>
        <w:tab w:val="left" w:pos="705"/>
      </w:tabs>
      <w:ind w:left="850" w:hanging="425"/>
    </w:pPr>
  </w:style>
  <w:style w:type="paragraph" w:customStyle="1" w:styleId="ListNumber31">
    <w:name w:val="List Number 31"/>
    <w:basedOn w:val="ListNumber21"/>
    <w:pPr>
      <w:tabs>
        <w:tab w:val="clear" w:pos="705"/>
        <w:tab w:val="left" w:pos="720"/>
        <w:tab w:val="left" w:pos="1276"/>
      </w:tabs>
      <w:ind w:left="1276"/>
    </w:pPr>
  </w:style>
  <w:style w:type="paragraph" w:customStyle="1" w:styleId="NoSpacing1">
    <w:name w:val="No Spacing1"/>
    <w:pPr>
      <w:suppressAutoHyphens/>
    </w:pPr>
    <w:rPr>
      <w:rFonts w:ascii="Calibri" w:eastAsia="Calibri" w:hAnsi="Calibri"/>
      <w:sz w:val="22"/>
      <w:szCs w:val="22"/>
      <w:lang w:val="en-GB" w:eastAsia="en-US"/>
    </w:rPr>
  </w:style>
  <w:style w:type="paragraph" w:customStyle="1" w:styleId="CharCharCharChar">
    <w:name w:val="Char Char Char Char"/>
    <w:basedOn w:val="a"/>
    <w:pPr>
      <w:spacing w:line="240" w:lineRule="exact"/>
    </w:pPr>
    <w:rPr>
      <w:rFonts w:ascii="Tahoma" w:eastAsia="Times New Roman" w:hAnsi="Tahoma" w:cs="Times New Roman"/>
      <w:sz w:val="20"/>
      <w:szCs w:val="20"/>
    </w:rPr>
  </w:style>
  <w:style w:type="paragraph" w:customStyle="1" w:styleId="NormalIndent10">
    <w:name w:val="Normal Indent 1.0"/>
    <w:basedOn w:val="a"/>
    <w:pPr>
      <w:keepLines/>
      <w:spacing w:before="80" w:line="240" w:lineRule="auto"/>
      <w:ind w:left="1152"/>
    </w:pPr>
    <w:rPr>
      <w:rFonts w:ascii="Arial" w:eastAsia="Times New Roman" w:hAnsi="Arial" w:cs="Arial"/>
      <w:lang w:val="en-IE"/>
    </w:rPr>
  </w:style>
  <w:style w:type="paragraph" w:customStyle="1" w:styleId="Bullet2">
    <w:name w:val="Bullet 2"/>
    <w:basedOn w:val="a"/>
    <w:pPr>
      <w:tabs>
        <w:tab w:val="left" w:pos="1985"/>
      </w:tabs>
      <w:spacing w:line="240" w:lineRule="auto"/>
      <w:ind w:left="1985" w:hanging="1985"/>
    </w:pPr>
    <w:rPr>
      <w:rFonts w:ascii="Arial" w:eastAsia="Times New Roman" w:hAnsi="Arial" w:cs="Arial"/>
      <w:lang w:val="en-IE"/>
    </w:rPr>
  </w:style>
  <w:style w:type="paragraph" w:customStyle="1" w:styleId="ListParagraph1">
    <w:name w:val="List Paragraph1"/>
    <w:basedOn w:val="a"/>
    <w:pPr>
      <w:spacing w:before="60" w:after="120"/>
    </w:pPr>
    <w:rPr>
      <w:rFonts w:cs="Calibri"/>
    </w:rPr>
  </w:style>
  <w:style w:type="paragraph" w:customStyle="1" w:styleId="Text1">
    <w:name w:val="Text 1"/>
    <w:basedOn w:val="a"/>
    <w:pPr>
      <w:spacing w:after="240" w:line="240" w:lineRule="auto"/>
      <w:ind w:left="482"/>
    </w:pPr>
    <w:rPr>
      <w:rFonts w:ascii="Arial" w:eastAsia="Times New Roman" w:hAnsi="Arial" w:cs="Angsana New"/>
      <w:sz w:val="20"/>
      <w:szCs w:val="20"/>
    </w:rPr>
  </w:style>
  <w:style w:type="paragraph" w:customStyle="1" w:styleId="Text3">
    <w:name w:val="Text 3"/>
    <w:basedOn w:val="a"/>
    <w:pPr>
      <w:tabs>
        <w:tab w:val="left" w:pos="2302"/>
      </w:tabs>
      <w:spacing w:after="240" w:line="240" w:lineRule="auto"/>
      <w:ind w:left="1202"/>
    </w:pPr>
    <w:rPr>
      <w:rFonts w:ascii="Times New Roman" w:eastAsia="Times New Roman" w:hAnsi="Times New Roman" w:cs="Times New Roman"/>
      <w:sz w:val="24"/>
      <w:szCs w:val="20"/>
    </w:rPr>
  </w:style>
  <w:style w:type="paragraph" w:customStyle="1" w:styleId="ListBullet1">
    <w:name w:val="List Bullet1"/>
    <w:basedOn w:val="a"/>
    <w:autoRedefine/>
    <w:pPr>
      <w:tabs>
        <w:tab w:val="left" w:pos="-202"/>
      </w:tabs>
      <w:spacing w:line="240" w:lineRule="exact"/>
      <w:ind w:left="288"/>
    </w:pPr>
    <w:rPr>
      <w:rFonts w:ascii="Arial" w:eastAsia="Times New Roman" w:hAnsi="Arial" w:cs="Times New Roman"/>
      <w:sz w:val="20"/>
      <w:szCs w:val="20"/>
    </w:rPr>
  </w:style>
  <w:style w:type="paragraph" w:customStyle="1" w:styleId="NormalIndent1">
    <w:name w:val="Normal Indent1"/>
    <w:basedOn w:val="a"/>
    <w:pPr>
      <w:spacing w:after="300" w:line="300" w:lineRule="atLeast"/>
      <w:ind w:left="1985"/>
    </w:pPr>
    <w:rPr>
      <w:rFonts w:ascii="Arial" w:hAnsi="Arial"/>
    </w:rPr>
  </w:style>
  <w:style w:type="paragraph" w:customStyle="1" w:styleId="Mullingar1">
    <w:name w:val="Mullingar 1"/>
    <w:basedOn w:val="1"/>
    <w:pPr>
      <w:keepLines w:val="0"/>
      <w:pageBreakBefore/>
      <w:widowControl w:val="0"/>
      <w:numPr>
        <w:numId w:val="0"/>
      </w:numPr>
      <w:pBdr>
        <w:top w:val="single" w:sz="18" w:space="10" w:color="99CCFF"/>
        <w:left w:val="none" w:sz="0" w:space="0" w:color="000000"/>
        <w:bottom w:val="single" w:sz="18" w:space="10" w:color="99CCFF"/>
        <w:right w:val="none" w:sz="0" w:space="0" w:color="000000"/>
      </w:pBdr>
      <w:tabs>
        <w:tab w:val="left" w:pos="284"/>
      </w:tabs>
      <w:spacing w:after="240" w:line="240" w:lineRule="auto"/>
    </w:pPr>
    <w:rPr>
      <w:rFonts w:ascii="Arial" w:eastAsia="Times New Roman" w:hAnsi="Arial" w:cs="Arial"/>
      <w:b w:val="0"/>
      <w:caps w:val="0"/>
      <w:sz w:val="28"/>
      <w:szCs w:val="20"/>
      <w:lang w:val="en-IE"/>
    </w:rPr>
  </w:style>
  <w:style w:type="paragraph" w:customStyle="1" w:styleId="Mullingar2">
    <w:name w:val="Mullingar 2"/>
    <w:basedOn w:val="2"/>
    <w:pPr>
      <w:keepLines w:val="0"/>
      <w:numPr>
        <w:ilvl w:val="0"/>
        <w:numId w:val="0"/>
      </w:numPr>
      <w:tabs>
        <w:tab w:val="left" w:pos="1021"/>
      </w:tabs>
      <w:spacing w:after="240"/>
    </w:pPr>
    <w:rPr>
      <w:szCs w:val="20"/>
      <w:lang w:val="en-IE" w:eastAsia="en-US"/>
    </w:rPr>
  </w:style>
  <w:style w:type="paragraph" w:customStyle="1" w:styleId="Mullingar3">
    <w:name w:val="Mullingar 3"/>
    <w:basedOn w:val="3"/>
    <w:pPr>
      <w:numPr>
        <w:ilvl w:val="0"/>
        <w:numId w:val="0"/>
      </w:numPr>
      <w:tabs>
        <w:tab w:val="left" w:pos="851"/>
        <w:tab w:val="left" w:pos="1021"/>
      </w:tabs>
      <w:spacing w:after="240" w:line="312" w:lineRule="auto"/>
      <w:ind w:left="851" w:hanging="851"/>
    </w:pPr>
    <w:rPr>
      <w:rFonts w:cs="Arial"/>
      <w:szCs w:val="20"/>
      <w:lang w:val="en-IE"/>
    </w:rPr>
  </w:style>
  <w:style w:type="paragraph" w:customStyle="1" w:styleId="Mullingartext">
    <w:name w:val="Mullingar text"/>
    <w:pPr>
      <w:tabs>
        <w:tab w:val="left" w:pos="864"/>
        <w:tab w:val="left" w:pos="1021"/>
      </w:tabs>
      <w:suppressAutoHyphens/>
      <w:spacing w:after="240" w:line="312" w:lineRule="auto"/>
      <w:ind w:left="864" w:hanging="864"/>
    </w:pPr>
    <w:rPr>
      <w:sz w:val="22"/>
      <w:lang w:val="en-IE" w:eastAsia="en-US"/>
    </w:rPr>
  </w:style>
  <w:style w:type="paragraph" w:customStyle="1" w:styleId="BodyTextIndent31">
    <w:name w:val="Body Text Indent 31"/>
    <w:basedOn w:val="a"/>
    <w:pPr>
      <w:spacing w:after="120" w:line="240" w:lineRule="auto"/>
      <w:ind w:left="283"/>
    </w:pPr>
    <w:rPr>
      <w:rFonts w:ascii="Arial" w:eastAsia="Times New Roman" w:hAnsi="Arial" w:cs="Times New Roman"/>
      <w:sz w:val="16"/>
      <w:szCs w:val="16"/>
      <w:lang w:eastAsia="es-ES"/>
    </w:rPr>
  </w:style>
  <w:style w:type="paragraph" w:customStyle="1" w:styleId="Mullingartableheader">
    <w:name w:val="Mullingar table header"/>
    <w:basedOn w:val="a"/>
    <w:pPr>
      <w:keepNext/>
      <w:tabs>
        <w:tab w:val="left" w:pos="2127"/>
      </w:tabs>
      <w:spacing w:before="240" w:after="240" w:line="240" w:lineRule="auto"/>
      <w:jc w:val="center"/>
    </w:pPr>
    <w:rPr>
      <w:rFonts w:ascii="Arial" w:eastAsia="Times New Roman" w:hAnsi="Arial" w:cs="Arial"/>
      <w:b/>
      <w:szCs w:val="20"/>
      <w:lang w:val="en-IE"/>
    </w:rPr>
  </w:style>
  <w:style w:type="paragraph" w:customStyle="1" w:styleId="BlockText1">
    <w:name w:val="Block Text1"/>
    <w:basedOn w:val="a"/>
    <w:pPr>
      <w:tabs>
        <w:tab w:val="left" w:pos="-720"/>
        <w:tab w:val="left" w:pos="0"/>
        <w:tab w:val="left" w:pos="720"/>
      </w:tabs>
      <w:spacing w:line="240" w:lineRule="auto"/>
      <w:ind w:left="720" w:right="-144" w:hanging="864"/>
    </w:pPr>
    <w:rPr>
      <w:rFonts w:ascii="Arial" w:eastAsia="Times New Roman" w:hAnsi="Arial" w:cs="Times New Roman"/>
      <w:spacing w:val="-1"/>
      <w:sz w:val="12"/>
      <w:szCs w:val="20"/>
    </w:rPr>
  </w:style>
  <w:style w:type="paragraph" w:customStyle="1" w:styleId="ListBullet10">
    <w:name w:val="List Bullet 1"/>
    <w:basedOn w:val="Text1"/>
    <w:rPr>
      <w:rFonts w:ascii="Times New Roman" w:hAnsi="Times New Roman" w:cs="Times New Roman"/>
      <w:sz w:val="24"/>
    </w:rPr>
  </w:style>
  <w:style w:type="paragraph" w:customStyle="1" w:styleId="CarCarCarCarCarCarCarCarCar">
    <w:name w:val="Car Car Car Car Car Car Car Car Car"/>
    <w:basedOn w:val="a"/>
    <w:pPr>
      <w:spacing w:after="240" w:line="240" w:lineRule="auto"/>
    </w:pPr>
    <w:rPr>
      <w:rFonts w:ascii="Times New Roman" w:eastAsia="Times New Roman" w:hAnsi="Times New Roman" w:cs="Times New Roman"/>
      <w:i/>
      <w:sz w:val="20"/>
      <w:szCs w:val="20"/>
      <w:lang w:val="pt-PT"/>
    </w:rPr>
  </w:style>
  <w:style w:type="paragraph" w:customStyle="1" w:styleId="Default">
    <w:name w:val="Default"/>
    <w:pPr>
      <w:suppressAutoHyphens/>
    </w:pPr>
    <w:rPr>
      <w:rFonts w:ascii="Arial" w:hAnsi="Arial" w:cs="Arial"/>
      <w:color w:val="000000"/>
      <w:sz w:val="24"/>
      <w:szCs w:val="24"/>
      <w:lang w:val="en-US" w:eastAsia="en-US"/>
    </w:rPr>
  </w:style>
  <w:style w:type="paragraph" w:customStyle="1" w:styleId="33">
    <w:name w:val="Основной текст3"/>
    <w:basedOn w:val="a"/>
    <w:pPr>
      <w:widowControl w:val="0"/>
      <w:shd w:val="clear" w:color="auto" w:fill="FFFFFF"/>
      <w:spacing w:before="1860" w:after="1860" w:line="0" w:lineRule="atLeast"/>
      <w:ind w:hanging="560"/>
    </w:pPr>
    <w:rPr>
      <w:rFonts w:ascii="Arial" w:eastAsia="Arial" w:hAnsi="Arial" w:cs="Arial"/>
      <w:spacing w:val="1"/>
      <w:sz w:val="20"/>
      <w:szCs w:val="20"/>
    </w:rPr>
  </w:style>
  <w:style w:type="paragraph" w:customStyle="1" w:styleId="af7">
    <w:name w:val="Таблица"/>
    <w:basedOn w:val="a"/>
    <w:pPr>
      <w:ind w:left="527" w:right="-20"/>
      <w:jc w:val="center"/>
    </w:pPr>
    <w:rPr>
      <w:rFonts w:eastAsia="Arial" w:cs="Calibri"/>
      <w:szCs w:val="24"/>
    </w:rPr>
  </w:style>
  <w:style w:type="paragraph" w:customStyle="1" w:styleId="Liste-">
    <w:name w:val="Liste -"/>
    <w:basedOn w:val="NoSpacing1"/>
    <w:pPr>
      <w:jc w:val="both"/>
    </w:pPr>
    <w:rPr>
      <w:lang w:val="en-US"/>
    </w:rPr>
  </w:style>
  <w:style w:type="paragraph" w:customStyle="1" w:styleId="TableW">
    <w:name w:val="Table W"/>
    <w:basedOn w:val="a"/>
    <w:pPr>
      <w:jc w:val="center"/>
    </w:pPr>
    <w:rPr>
      <w:b/>
      <w:color w:val="FFFFFF"/>
    </w:rPr>
  </w:style>
  <w:style w:type="paragraph" w:customStyle="1" w:styleId="TableXXL">
    <w:name w:val="Table XXL"/>
    <w:basedOn w:val="a"/>
    <w:pPr>
      <w:spacing w:line="240" w:lineRule="auto"/>
    </w:pPr>
    <w:rPr>
      <w:sz w:val="16"/>
      <w:szCs w:val="16"/>
    </w:rPr>
  </w:style>
  <w:style w:type="paragraph" w:customStyle="1" w:styleId="Table2">
    <w:name w:val="Table 2"/>
    <w:basedOn w:val="a"/>
    <w:pPr>
      <w:spacing w:line="240" w:lineRule="auto"/>
    </w:pPr>
    <w:rPr>
      <w:sz w:val="20"/>
      <w:szCs w:val="20"/>
      <w:lang w:eastAsia="de-DE"/>
    </w:rPr>
  </w:style>
  <w:style w:type="paragraph" w:customStyle="1" w:styleId="Buchuntertitel1">
    <w:name w:val="Buchuntertitel 1"/>
    <w:basedOn w:val="af2"/>
    <w:pPr>
      <w:spacing w:before="240" w:after="240" w:line="360" w:lineRule="auto"/>
      <w:jc w:val="center"/>
    </w:pPr>
    <w:rPr>
      <w:b/>
      <w:color w:val="002060"/>
      <w:sz w:val="32"/>
      <w:szCs w:val="32"/>
    </w:rPr>
  </w:style>
  <w:style w:type="paragraph" w:customStyle="1" w:styleId="Buchuntertitel2">
    <w:name w:val="Buchuntertitel 2"/>
    <w:basedOn w:val="a"/>
    <w:pPr>
      <w:spacing w:before="240" w:after="240" w:line="360" w:lineRule="auto"/>
      <w:jc w:val="center"/>
    </w:pPr>
    <w:rPr>
      <w:b/>
      <w:color w:val="002060"/>
      <w:sz w:val="28"/>
    </w:rPr>
  </w:style>
  <w:style w:type="paragraph" w:customStyle="1" w:styleId="Report1">
    <w:name w:val="Report 1"/>
    <w:basedOn w:val="a"/>
    <w:pPr>
      <w:jc w:val="center"/>
    </w:pPr>
    <w:rPr>
      <w:b/>
      <w:color w:val="FF0000"/>
      <w:sz w:val="48"/>
      <w:szCs w:val="48"/>
    </w:rPr>
  </w:style>
  <w:style w:type="paragraph" w:customStyle="1" w:styleId="Report2">
    <w:name w:val="Report 2"/>
    <w:basedOn w:val="a"/>
    <w:pPr>
      <w:jc w:val="center"/>
    </w:pPr>
    <w:rPr>
      <w:b/>
      <w:color w:val="FF0000"/>
      <w:sz w:val="28"/>
      <w:szCs w:val="28"/>
    </w:rPr>
  </w:style>
  <w:style w:type="paragraph" w:customStyle="1" w:styleId="Report3">
    <w:name w:val="Report 3"/>
    <w:basedOn w:val="a"/>
    <w:pPr>
      <w:spacing w:line="360" w:lineRule="auto"/>
      <w:jc w:val="center"/>
    </w:pPr>
    <w:rPr>
      <w:sz w:val="24"/>
      <w:u w:val="single"/>
    </w:rPr>
  </w:style>
  <w:style w:type="paragraph" w:customStyle="1" w:styleId="Report4">
    <w:name w:val="Report 4"/>
    <w:basedOn w:val="Report3"/>
    <w:rPr>
      <w:u w:val="none"/>
    </w:rPr>
  </w:style>
  <w:style w:type="table" w:styleId="af8">
    <w:name w:val="Table Grid"/>
    <w:basedOn w:val="a1"/>
    <w:uiPriority w:val="59"/>
    <w:rsid w:val="008D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9131AA"/>
    <w:pPr>
      <w:ind w:left="708"/>
    </w:pPr>
  </w:style>
  <w:style w:type="character" w:styleId="afa">
    <w:name w:val="annotation reference"/>
    <w:uiPriority w:val="99"/>
    <w:semiHidden/>
    <w:unhideWhenUsed/>
    <w:rsid w:val="00A30358"/>
    <w:rPr>
      <w:sz w:val="16"/>
      <w:szCs w:val="16"/>
    </w:rPr>
  </w:style>
  <w:style w:type="paragraph" w:styleId="afb">
    <w:name w:val="annotation text"/>
    <w:basedOn w:val="a"/>
    <w:link w:val="afc"/>
    <w:uiPriority w:val="99"/>
    <w:semiHidden/>
    <w:unhideWhenUsed/>
    <w:rsid w:val="00A30358"/>
    <w:rPr>
      <w:sz w:val="20"/>
      <w:szCs w:val="20"/>
    </w:rPr>
  </w:style>
  <w:style w:type="character" w:customStyle="1" w:styleId="afc">
    <w:name w:val="Текст примечания Знак"/>
    <w:link w:val="afb"/>
    <w:uiPriority w:val="99"/>
    <w:semiHidden/>
    <w:rsid w:val="00A30358"/>
    <w:rPr>
      <w:rFonts w:ascii="Calibri" w:eastAsia="Calibri" w:hAnsi="Calibri" w:cs="font358"/>
    </w:rPr>
  </w:style>
  <w:style w:type="paragraph" w:styleId="afd">
    <w:name w:val="annotation subject"/>
    <w:basedOn w:val="afb"/>
    <w:next w:val="afb"/>
    <w:link w:val="afe"/>
    <w:uiPriority w:val="99"/>
    <w:semiHidden/>
    <w:unhideWhenUsed/>
    <w:rsid w:val="00A30358"/>
    <w:rPr>
      <w:b/>
      <w:bCs/>
    </w:rPr>
  </w:style>
  <w:style w:type="character" w:customStyle="1" w:styleId="afe">
    <w:name w:val="Тема примечания Знак"/>
    <w:link w:val="afd"/>
    <w:uiPriority w:val="99"/>
    <w:semiHidden/>
    <w:rsid w:val="00A30358"/>
    <w:rPr>
      <w:rFonts w:ascii="Calibri" w:eastAsia="Calibri" w:hAnsi="Calibri" w:cs="font358"/>
      <w:b/>
      <w:bCs/>
    </w:rPr>
  </w:style>
  <w:style w:type="paragraph" w:styleId="aff">
    <w:name w:val="Balloon Text"/>
    <w:basedOn w:val="a"/>
    <w:link w:val="16"/>
    <w:uiPriority w:val="99"/>
    <w:semiHidden/>
    <w:unhideWhenUsed/>
    <w:rsid w:val="00A30358"/>
    <w:pPr>
      <w:spacing w:line="240" w:lineRule="auto"/>
    </w:pPr>
    <w:rPr>
      <w:rFonts w:ascii="Segoe UI" w:hAnsi="Segoe UI" w:cs="Segoe UI"/>
      <w:sz w:val="18"/>
      <w:szCs w:val="18"/>
    </w:rPr>
  </w:style>
  <w:style w:type="character" w:customStyle="1" w:styleId="16">
    <w:name w:val="Текст выноски Знак1"/>
    <w:link w:val="aff"/>
    <w:uiPriority w:val="99"/>
    <w:semiHidden/>
    <w:rsid w:val="00A30358"/>
    <w:rPr>
      <w:rFonts w:ascii="Segoe UI" w:eastAsia="Calibri" w:hAnsi="Segoe UI" w:cs="Segoe UI"/>
      <w:sz w:val="18"/>
      <w:szCs w:val="18"/>
    </w:rPr>
  </w:style>
  <w:style w:type="paragraph" w:styleId="aff0">
    <w:name w:val="Normal (Web)"/>
    <w:basedOn w:val="a"/>
    <w:uiPriority w:val="99"/>
    <w:semiHidden/>
    <w:unhideWhenUsed/>
    <w:rsid w:val="00CF7509"/>
    <w:pPr>
      <w:suppressAutoHyphens w:val="0"/>
      <w:spacing w:before="100" w:beforeAutospacing="1" w:after="100" w:afterAutospacing="1" w:line="240" w:lineRule="auto"/>
      <w:jc w:val="left"/>
    </w:pPr>
    <w:rPr>
      <w:rFonts w:cs="Calibri"/>
    </w:rPr>
  </w:style>
  <w:style w:type="paragraph" w:customStyle="1" w:styleId="TableParagraph">
    <w:name w:val="Table Paragraph"/>
    <w:basedOn w:val="a"/>
    <w:uiPriority w:val="1"/>
    <w:qFormat/>
    <w:rsid w:val="001B2586"/>
    <w:pPr>
      <w:widowControl w:val="0"/>
      <w:suppressAutoHyphens w:val="0"/>
      <w:autoSpaceDE w:val="0"/>
      <w:autoSpaceDN w:val="0"/>
      <w:spacing w:line="240" w:lineRule="auto"/>
      <w:jc w:val="left"/>
    </w:pPr>
    <w:rPr>
      <w:rFonts w:ascii="Times New Roman" w:eastAsia="Times New Roman" w:hAnsi="Times New Roman" w:cs="Times New Roman"/>
    </w:rPr>
  </w:style>
  <w:style w:type="table" w:customStyle="1" w:styleId="TableNormal1">
    <w:name w:val="Table Normal1"/>
    <w:uiPriority w:val="2"/>
    <w:semiHidden/>
    <w:unhideWhenUsed/>
    <w:qFormat/>
    <w:rsid w:val="001B25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14726102">
      <w:bodyDiv w:val="1"/>
      <w:marLeft w:val="0"/>
      <w:marRight w:val="0"/>
      <w:marTop w:val="0"/>
      <w:marBottom w:val="0"/>
      <w:divBdr>
        <w:top w:val="none" w:sz="0" w:space="0" w:color="auto"/>
        <w:left w:val="none" w:sz="0" w:space="0" w:color="auto"/>
        <w:bottom w:val="none" w:sz="0" w:space="0" w:color="auto"/>
        <w:right w:val="none" w:sz="0" w:space="0" w:color="auto"/>
      </w:divBdr>
    </w:div>
    <w:div w:id="568925613">
      <w:bodyDiv w:val="1"/>
      <w:marLeft w:val="0"/>
      <w:marRight w:val="0"/>
      <w:marTop w:val="0"/>
      <w:marBottom w:val="0"/>
      <w:divBdr>
        <w:top w:val="none" w:sz="0" w:space="0" w:color="auto"/>
        <w:left w:val="none" w:sz="0" w:space="0" w:color="auto"/>
        <w:bottom w:val="none" w:sz="0" w:space="0" w:color="auto"/>
        <w:right w:val="none" w:sz="0" w:space="0" w:color="auto"/>
      </w:divBdr>
    </w:div>
    <w:div w:id="781651915">
      <w:bodyDiv w:val="1"/>
      <w:marLeft w:val="0"/>
      <w:marRight w:val="0"/>
      <w:marTop w:val="0"/>
      <w:marBottom w:val="0"/>
      <w:divBdr>
        <w:top w:val="none" w:sz="0" w:space="0" w:color="auto"/>
        <w:left w:val="none" w:sz="0" w:space="0" w:color="auto"/>
        <w:bottom w:val="none" w:sz="0" w:space="0" w:color="auto"/>
        <w:right w:val="none" w:sz="0" w:space="0" w:color="auto"/>
      </w:divBdr>
    </w:div>
    <w:div w:id="799764856">
      <w:bodyDiv w:val="1"/>
      <w:marLeft w:val="0"/>
      <w:marRight w:val="0"/>
      <w:marTop w:val="0"/>
      <w:marBottom w:val="0"/>
      <w:divBdr>
        <w:top w:val="none" w:sz="0" w:space="0" w:color="auto"/>
        <w:left w:val="none" w:sz="0" w:space="0" w:color="auto"/>
        <w:bottom w:val="none" w:sz="0" w:space="0" w:color="auto"/>
        <w:right w:val="none" w:sz="0" w:space="0" w:color="auto"/>
      </w:divBdr>
    </w:div>
    <w:div w:id="889613517">
      <w:bodyDiv w:val="1"/>
      <w:marLeft w:val="0"/>
      <w:marRight w:val="0"/>
      <w:marTop w:val="0"/>
      <w:marBottom w:val="0"/>
      <w:divBdr>
        <w:top w:val="none" w:sz="0" w:space="0" w:color="auto"/>
        <w:left w:val="none" w:sz="0" w:space="0" w:color="auto"/>
        <w:bottom w:val="none" w:sz="0" w:space="0" w:color="auto"/>
        <w:right w:val="none" w:sz="0" w:space="0" w:color="auto"/>
      </w:divBdr>
    </w:div>
    <w:div w:id="970356590">
      <w:bodyDiv w:val="1"/>
      <w:marLeft w:val="0"/>
      <w:marRight w:val="0"/>
      <w:marTop w:val="0"/>
      <w:marBottom w:val="0"/>
      <w:divBdr>
        <w:top w:val="none" w:sz="0" w:space="0" w:color="auto"/>
        <w:left w:val="none" w:sz="0" w:space="0" w:color="auto"/>
        <w:bottom w:val="none" w:sz="0" w:space="0" w:color="auto"/>
        <w:right w:val="none" w:sz="0" w:space="0" w:color="auto"/>
      </w:divBdr>
    </w:div>
    <w:div w:id="984893337">
      <w:bodyDiv w:val="1"/>
      <w:marLeft w:val="0"/>
      <w:marRight w:val="0"/>
      <w:marTop w:val="0"/>
      <w:marBottom w:val="0"/>
      <w:divBdr>
        <w:top w:val="none" w:sz="0" w:space="0" w:color="auto"/>
        <w:left w:val="none" w:sz="0" w:space="0" w:color="auto"/>
        <w:bottom w:val="none" w:sz="0" w:space="0" w:color="auto"/>
        <w:right w:val="none" w:sz="0" w:space="0" w:color="auto"/>
      </w:divBdr>
    </w:div>
    <w:div w:id="1142192382">
      <w:bodyDiv w:val="1"/>
      <w:marLeft w:val="0"/>
      <w:marRight w:val="0"/>
      <w:marTop w:val="0"/>
      <w:marBottom w:val="0"/>
      <w:divBdr>
        <w:top w:val="none" w:sz="0" w:space="0" w:color="auto"/>
        <w:left w:val="none" w:sz="0" w:space="0" w:color="auto"/>
        <w:bottom w:val="none" w:sz="0" w:space="0" w:color="auto"/>
        <w:right w:val="none" w:sz="0" w:space="0" w:color="auto"/>
      </w:divBdr>
    </w:div>
    <w:div w:id="1344552893">
      <w:bodyDiv w:val="1"/>
      <w:marLeft w:val="0"/>
      <w:marRight w:val="0"/>
      <w:marTop w:val="0"/>
      <w:marBottom w:val="0"/>
      <w:divBdr>
        <w:top w:val="none" w:sz="0" w:space="0" w:color="auto"/>
        <w:left w:val="none" w:sz="0" w:space="0" w:color="auto"/>
        <w:bottom w:val="none" w:sz="0" w:space="0" w:color="auto"/>
        <w:right w:val="none" w:sz="0" w:space="0" w:color="auto"/>
      </w:divBdr>
    </w:div>
    <w:div w:id="1383098846">
      <w:bodyDiv w:val="1"/>
      <w:marLeft w:val="0"/>
      <w:marRight w:val="0"/>
      <w:marTop w:val="0"/>
      <w:marBottom w:val="0"/>
      <w:divBdr>
        <w:top w:val="none" w:sz="0" w:space="0" w:color="auto"/>
        <w:left w:val="none" w:sz="0" w:space="0" w:color="auto"/>
        <w:bottom w:val="none" w:sz="0" w:space="0" w:color="auto"/>
        <w:right w:val="none" w:sz="0" w:space="0" w:color="auto"/>
      </w:divBdr>
    </w:div>
    <w:div w:id="14929426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836259400">
      <w:bodyDiv w:val="1"/>
      <w:marLeft w:val="0"/>
      <w:marRight w:val="0"/>
      <w:marTop w:val="0"/>
      <w:marBottom w:val="0"/>
      <w:divBdr>
        <w:top w:val="none" w:sz="0" w:space="0" w:color="auto"/>
        <w:left w:val="none" w:sz="0" w:space="0" w:color="auto"/>
        <w:bottom w:val="none" w:sz="0" w:space="0" w:color="auto"/>
        <w:right w:val="none" w:sz="0" w:space="0" w:color="auto"/>
      </w:divBdr>
    </w:div>
    <w:div w:id="1888103412">
      <w:bodyDiv w:val="1"/>
      <w:marLeft w:val="0"/>
      <w:marRight w:val="0"/>
      <w:marTop w:val="0"/>
      <w:marBottom w:val="0"/>
      <w:divBdr>
        <w:top w:val="none" w:sz="0" w:space="0" w:color="auto"/>
        <w:left w:val="none" w:sz="0" w:space="0" w:color="auto"/>
        <w:bottom w:val="none" w:sz="0" w:space="0" w:color="auto"/>
        <w:right w:val="none" w:sz="0" w:space="0" w:color="auto"/>
      </w:divBdr>
    </w:div>
    <w:div w:id="21292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xsustrans@inbox.ru"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adb.org/projects/documents/uzb-45366-004-apfs-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lshod75@mail.ru" TargetMode="Externa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ratech_consulting@asia.com"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tenderwee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iu3067@gmail.com" TargetMode="External"/><Relationship Id="rId22" Type="http://schemas.openxmlformats.org/officeDocument/2006/relationships/image" Target="media/image10.emf"/><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12955</TotalTime>
  <Pages>1</Pages>
  <Words>11412</Words>
  <Characters>65052</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76312</CharactersWithSpaces>
  <SharedDoc>false</SharedDoc>
  <HLinks>
    <vt:vector size="144" baseType="variant">
      <vt:variant>
        <vt:i4>1310772</vt:i4>
      </vt:variant>
      <vt:variant>
        <vt:i4>138</vt:i4>
      </vt:variant>
      <vt:variant>
        <vt:i4>0</vt:i4>
      </vt:variant>
      <vt:variant>
        <vt:i4>5</vt:i4>
      </vt:variant>
      <vt:variant>
        <vt:lpwstr/>
      </vt:variant>
      <vt:variant>
        <vt:lpwstr>_Toc417027554</vt:lpwstr>
      </vt:variant>
      <vt:variant>
        <vt:i4>1572921</vt:i4>
      </vt:variant>
      <vt:variant>
        <vt:i4>125</vt:i4>
      </vt:variant>
      <vt:variant>
        <vt:i4>0</vt:i4>
      </vt:variant>
      <vt:variant>
        <vt:i4>5</vt:i4>
      </vt:variant>
      <vt:variant>
        <vt:lpwstr/>
      </vt:variant>
      <vt:variant>
        <vt:lpwstr>_Toc528521692</vt:lpwstr>
      </vt:variant>
      <vt:variant>
        <vt:i4>1572921</vt:i4>
      </vt:variant>
      <vt:variant>
        <vt:i4>119</vt:i4>
      </vt:variant>
      <vt:variant>
        <vt:i4>0</vt:i4>
      </vt:variant>
      <vt:variant>
        <vt:i4>5</vt:i4>
      </vt:variant>
      <vt:variant>
        <vt:lpwstr/>
      </vt:variant>
      <vt:variant>
        <vt:lpwstr>_Toc528521691</vt:lpwstr>
      </vt:variant>
      <vt:variant>
        <vt:i4>1572921</vt:i4>
      </vt:variant>
      <vt:variant>
        <vt:i4>113</vt:i4>
      </vt:variant>
      <vt:variant>
        <vt:i4>0</vt:i4>
      </vt:variant>
      <vt:variant>
        <vt:i4>5</vt:i4>
      </vt:variant>
      <vt:variant>
        <vt:lpwstr/>
      </vt:variant>
      <vt:variant>
        <vt:lpwstr>_Toc528521690</vt:lpwstr>
      </vt:variant>
      <vt:variant>
        <vt:i4>1638457</vt:i4>
      </vt:variant>
      <vt:variant>
        <vt:i4>107</vt:i4>
      </vt:variant>
      <vt:variant>
        <vt:i4>0</vt:i4>
      </vt:variant>
      <vt:variant>
        <vt:i4>5</vt:i4>
      </vt:variant>
      <vt:variant>
        <vt:lpwstr/>
      </vt:variant>
      <vt:variant>
        <vt:lpwstr>_Toc528521689</vt:lpwstr>
      </vt:variant>
      <vt:variant>
        <vt:i4>1638457</vt:i4>
      </vt:variant>
      <vt:variant>
        <vt:i4>101</vt:i4>
      </vt:variant>
      <vt:variant>
        <vt:i4>0</vt:i4>
      </vt:variant>
      <vt:variant>
        <vt:i4>5</vt:i4>
      </vt:variant>
      <vt:variant>
        <vt:lpwstr/>
      </vt:variant>
      <vt:variant>
        <vt:lpwstr>_Toc528521688</vt:lpwstr>
      </vt:variant>
      <vt:variant>
        <vt:i4>1638457</vt:i4>
      </vt:variant>
      <vt:variant>
        <vt:i4>95</vt:i4>
      </vt:variant>
      <vt:variant>
        <vt:i4>0</vt:i4>
      </vt:variant>
      <vt:variant>
        <vt:i4>5</vt:i4>
      </vt:variant>
      <vt:variant>
        <vt:lpwstr/>
      </vt:variant>
      <vt:variant>
        <vt:lpwstr>_Toc528521687</vt:lpwstr>
      </vt:variant>
      <vt:variant>
        <vt:i4>1638457</vt:i4>
      </vt:variant>
      <vt:variant>
        <vt:i4>89</vt:i4>
      </vt:variant>
      <vt:variant>
        <vt:i4>0</vt:i4>
      </vt:variant>
      <vt:variant>
        <vt:i4>5</vt:i4>
      </vt:variant>
      <vt:variant>
        <vt:lpwstr/>
      </vt:variant>
      <vt:variant>
        <vt:lpwstr>_Toc528521686</vt:lpwstr>
      </vt:variant>
      <vt:variant>
        <vt:i4>1638457</vt:i4>
      </vt:variant>
      <vt:variant>
        <vt:i4>83</vt:i4>
      </vt:variant>
      <vt:variant>
        <vt:i4>0</vt:i4>
      </vt:variant>
      <vt:variant>
        <vt:i4>5</vt:i4>
      </vt:variant>
      <vt:variant>
        <vt:lpwstr/>
      </vt:variant>
      <vt:variant>
        <vt:lpwstr>_Toc528521685</vt:lpwstr>
      </vt:variant>
      <vt:variant>
        <vt:i4>1638457</vt:i4>
      </vt:variant>
      <vt:variant>
        <vt:i4>77</vt:i4>
      </vt:variant>
      <vt:variant>
        <vt:i4>0</vt:i4>
      </vt:variant>
      <vt:variant>
        <vt:i4>5</vt:i4>
      </vt:variant>
      <vt:variant>
        <vt:lpwstr/>
      </vt:variant>
      <vt:variant>
        <vt:lpwstr>_Toc528521684</vt:lpwstr>
      </vt:variant>
      <vt:variant>
        <vt:i4>1638457</vt:i4>
      </vt:variant>
      <vt:variant>
        <vt:i4>71</vt:i4>
      </vt:variant>
      <vt:variant>
        <vt:i4>0</vt:i4>
      </vt:variant>
      <vt:variant>
        <vt:i4>5</vt:i4>
      </vt:variant>
      <vt:variant>
        <vt:lpwstr/>
      </vt:variant>
      <vt:variant>
        <vt:lpwstr>_Toc528521683</vt:lpwstr>
      </vt:variant>
      <vt:variant>
        <vt:i4>1638457</vt:i4>
      </vt:variant>
      <vt:variant>
        <vt:i4>65</vt:i4>
      </vt:variant>
      <vt:variant>
        <vt:i4>0</vt:i4>
      </vt:variant>
      <vt:variant>
        <vt:i4>5</vt:i4>
      </vt:variant>
      <vt:variant>
        <vt:lpwstr/>
      </vt:variant>
      <vt:variant>
        <vt:lpwstr>_Toc528521682</vt:lpwstr>
      </vt:variant>
      <vt:variant>
        <vt:i4>1638457</vt:i4>
      </vt:variant>
      <vt:variant>
        <vt:i4>59</vt:i4>
      </vt:variant>
      <vt:variant>
        <vt:i4>0</vt:i4>
      </vt:variant>
      <vt:variant>
        <vt:i4>5</vt:i4>
      </vt:variant>
      <vt:variant>
        <vt:lpwstr/>
      </vt:variant>
      <vt:variant>
        <vt:lpwstr>_Toc528521681</vt:lpwstr>
      </vt:variant>
      <vt:variant>
        <vt:i4>1638457</vt:i4>
      </vt:variant>
      <vt:variant>
        <vt:i4>53</vt:i4>
      </vt:variant>
      <vt:variant>
        <vt:i4>0</vt:i4>
      </vt:variant>
      <vt:variant>
        <vt:i4>5</vt:i4>
      </vt:variant>
      <vt:variant>
        <vt:lpwstr/>
      </vt:variant>
      <vt:variant>
        <vt:lpwstr>_Toc528521680</vt:lpwstr>
      </vt:variant>
      <vt:variant>
        <vt:i4>1441849</vt:i4>
      </vt:variant>
      <vt:variant>
        <vt:i4>47</vt:i4>
      </vt:variant>
      <vt:variant>
        <vt:i4>0</vt:i4>
      </vt:variant>
      <vt:variant>
        <vt:i4>5</vt:i4>
      </vt:variant>
      <vt:variant>
        <vt:lpwstr/>
      </vt:variant>
      <vt:variant>
        <vt:lpwstr>_Toc528521679</vt:lpwstr>
      </vt:variant>
      <vt:variant>
        <vt:i4>1441849</vt:i4>
      </vt:variant>
      <vt:variant>
        <vt:i4>41</vt:i4>
      </vt:variant>
      <vt:variant>
        <vt:i4>0</vt:i4>
      </vt:variant>
      <vt:variant>
        <vt:i4>5</vt:i4>
      </vt:variant>
      <vt:variant>
        <vt:lpwstr/>
      </vt:variant>
      <vt:variant>
        <vt:lpwstr>_Toc528521678</vt:lpwstr>
      </vt:variant>
      <vt:variant>
        <vt:i4>1441849</vt:i4>
      </vt:variant>
      <vt:variant>
        <vt:i4>35</vt:i4>
      </vt:variant>
      <vt:variant>
        <vt:i4>0</vt:i4>
      </vt:variant>
      <vt:variant>
        <vt:i4>5</vt:i4>
      </vt:variant>
      <vt:variant>
        <vt:lpwstr/>
      </vt:variant>
      <vt:variant>
        <vt:lpwstr>_Toc528521677</vt:lpwstr>
      </vt:variant>
      <vt:variant>
        <vt:i4>1441849</vt:i4>
      </vt:variant>
      <vt:variant>
        <vt:i4>29</vt:i4>
      </vt:variant>
      <vt:variant>
        <vt:i4>0</vt:i4>
      </vt:variant>
      <vt:variant>
        <vt:i4>5</vt:i4>
      </vt:variant>
      <vt:variant>
        <vt:lpwstr/>
      </vt:variant>
      <vt:variant>
        <vt:lpwstr>_Toc528521676</vt:lpwstr>
      </vt:variant>
      <vt:variant>
        <vt:i4>1441849</vt:i4>
      </vt:variant>
      <vt:variant>
        <vt:i4>23</vt:i4>
      </vt:variant>
      <vt:variant>
        <vt:i4>0</vt:i4>
      </vt:variant>
      <vt:variant>
        <vt:i4>5</vt:i4>
      </vt:variant>
      <vt:variant>
        <vt:lpwstr/>
      </vt:variant>
      <vt:variant>
        <vt:lpwstr>_Toc528521675</vt:lpwstr>
      </vt:variant>
      <vt:variant>
        <vt:i4>1441849</vt:i4>
      </vt:variant>
      <vt:variant>
        <vt:i4>17</vt:i4>
      </vt:variant>
      <vt:variant>
        <vt:i4>0</vt:i4>
      </vt:variant>
      <vt:variant>
        <vt:i4>5</vt:i4>
      </vt:variant>
      <vt:variant>
        <vt:lpwstr/>
      </vt:variant>
      <vt:variant>
        <vt:lpwstr>_Toc528521674</vt:lpwstr>
      </vt:variant>
      <vt:variant>
        <vt:i4>6488134</vt:i4>
      </vt:variant>
      <vt:variant>
        <vt:i4>12</vt:i4>
      </vt:variant>
      <vt:variant>
        <vt:i4>0</vt:i4>
      </vt:variant>
      <vt:variant>
        <vt:i4>5</vt:i4>
      </vt:variant>
      <vt:variant>
        <vt:lpwstr>mailto:ischoebe@gauff.com</vt:lpwstr>
      </vt:variant>
      <vt:variant>
        <vt:lpwstr/>
      </vt:variant>
      <vt:variant>
        <vt:i4>983087</vt:i4>
      </vt:variant>
      <vt:variant>
        <vt:i4>9</vt:i4>
      </vt:variant>
      <vt:variant>
        <vt:i4>0</vt:i4>
      </vt:variant>
      <vt:variant>
        <vt:i4>5</vt:i4>
      </vt:variant>
      <vt:variant>
        <vt:lpwstr>mailto:jglasenapp@gauff.com</vt:lpwstr>
      </vt:variant>
      <vt:variant>
        <vt:lpwstr/>
      </vt:variant>
      <vt:variant>
        <vt:i4>262179</vt:i4>
      </vt:variant>
      <vt:variant>
        <vt:i4>6</vt:i4>
      </vt:variant>
      <vt:variant>
        <vt:i4>0</vt:i4>
      </vt:variant>
      <vt:variant>
        <vt:i4>5</vt:i4>
      </vt:variant>
      <vt:variant>
        <vt:lpwstr>mailto:piu3067@gmail.com</vt:lpwstr>
      </vt:variant>
      <vt:variant>
        <vt:lpwstr/>
      </vt:variant>
      <vt:variant>
        <vt:i4>6619224</vt:i4>
      </vt:variant>
      <vt:variant>
        <vt:i4>3</vt:i4>
      </vt:variant>
      <vt:variant>
        <vt:i4>0</vt:i4>
      </vt:variant>
      <vt:variant>
        <vt:i4>5</vt:i4>
      </vt:variant>
      <vt:variant>
        <vt:lpwstr>mailto:maxsustrans@inbox.ru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Schoebe</dc:creator>
  <cp:lastModifiedBy>USER</cp:lastModifiedBy>
  <cp:revision>443</cp:revision>
  <cp:lastPrinted>2021-03-05T07:40:00Z</cp:lastPrinted>
  <dcterms:created xsi:type="dcterms:W3CDTF">2021-01-21T13:03:00Z</dcterms:created>
  <dcterms:modified xsi:type="dcterms:W3CDTF">2021-03-05T08:03:00Z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